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3373A0" w14:textId="77777777" w:rsidR="00931BA1" w:rsidRDefault="00931BA1" w:rsidP="00931BA1">
      <w:pPr>
        <w:pStyle w:val="Title"/>
        <w:rPr>
          <w:rFonts w:cs="Nazanin"/>
          <w:b w:val="0"/>
          <w:bCs w:val="0"/>
          <w:sz w:val="28"/>
        </w:rPr>
      </w:pPr>
      <w:bookmarkStart w:id="0" w:name="OLE_LINK15"/>
      <w:bookmarkStart w:id="1" w:name="OLE_LINK10"/>
      <w:bookmarkStart w:id="2" w:name="OLE_LINK11"/>
      <w:bookmarkStart w:id="3" w:name="OLE_LINK14"/>
    </w:p>
    <w:bookmarkEnd w:id="0"/>
    <w:bookmarkEnd w:id="1"/>
    <w:bookmarkEnd w:id="2"/>
    <w:bookmarkEnd w:id="3"/>
    <w:p w14:paraId="7BDB5260" w14:textId="77777777" w:rsidR="00496C72" w:rsidRDefault="00496C72" w:rsidP="00D5468E">
      <w:pPr>
        <w:jc w:val="center"/>
        <w:rPr>
          <w:rFonts w:asciiTheme="majorBidi" w:hAnsiTheme="majorBidi" w:cstheme="majorBidi"/>
          <w:b/>
          <w:bCs/>
          <w:sz w:val="28"/>
          <w:szCs w:val="28"/>
        </w:rPr>
      </w:pPr>
    </w:p>
    <w:p w14:paraId="5B8F3FBD" w14:textId="77777777" w:rsidR="00496C72" w:rsidRDefault="00496C72" w:rsidP="00D5468E">
      <w:pPr>
        <w:jc w:val="center"/>
        <w:rPr>
          <w:rFonts w:asciiTheme="majorBidi" w:hAnsiTheme="majorBidi" w:cstheme="majorBidi"/>
          <w:b/>
          <w:bCs/>
          <w:sz w:val="28"/>
          <w:szCs w:val="28"/>
        </w:rPr>
      </w:pPr>
    </w:p>
    <w:p w14:paraId="3CD784D1" w14:textId="77777777" w:rsidR="00496C72" w:rsidRDefault="00496C72" w:rsidP="00D5468E">
      <w:pPr>
        <w:jc w:val="center"/>
        <w:rPr>
          <w:rFonts w:asciiTheme="majorBidi" w:hAnsiTheme="majorBidi" w:cstheme="majorBidi"/>
          <w:b/>
          <w:bCs/>
          <w:sz w:val="28"/>
          <w:szCs w:val="28"/>
        </w:rPr>
      </w:pPr>
    </w:p>
    <w:p w14:paraId="66A14F9B" w14:textId="77777777" w:rsidR="00496C72" w:rsidRDefault="00496C72" w:rsidP="00D5468E">
      <w:pPr>
        <w:jc w:val="center"/>
        <w:rPr>
          <w:rFonts w:asciiTheme="majorBidi" w:hAnsiTheme="majorBidi" w:cstheme="majorBidi"/>
          <w:b/>
          <w:bCs/>
          <w:sz w:val="28"/>
          <w:szCs w:val="28"/>
        </w:rPr>
      </w:pPr>
    </w:p>
    <w:p w14:paraId="617A38A6" w14:textId="330F223D" w:rsidR="00D5468E" w:rsidRPr="00D5468E" w:rsidRDefault="00D5468E" w:rsidP="00D5468E">
      <w:pPr>
        <w:jc w:val="center"/>
        <w:rPr>
          <w:rFonts w:asciiTheme="majorBidi" w:hAnsiTheme="majorBidi" w:cstheme="majorBidi"/>
          <w:b/>
          <w:bCs/>
          <w:sz w:val="28"/>
          <w:szCs w:val="28"/>
        </w:rPr>
      </w:pPr>
      <w:r w:rsidRPr="00D5468E">
        <w:rPr>
          <w:rFonts w:asciiTheme="majorBidi" w:hAnsiTheme="majorBidi" w:cstheme="majorBidi"/>
          <w:b/>
          <w:bCs/>
          <w:sz w:val="28"/>
          <w:szCs w:val="28"/>
        </w:rPr>
        <w:t>Artificial Intelligence and Smart Sensor–Driven Systems for Climate-Resilient, Safe, and Sustainable Food Systems from Farm to Industry</w:t>
      </w:r>
    </w:p>
    <w:p w14:paraId="7A9EB086" w14:textId="77777777" w:rsidR="00B4352A" w:rsidRDefault="00B4352A" w:rsidP="00B4352A">
      <w:pPr>
        <w:widowControl w:val="0"/>
        <w:rPr>
          <w:rFonts w:ascii="Garamond" w:hAnsi="Garamond"/>
          <w:color w:val="000000"/>
          <w:sz w:val="18"/>
          <w:szCs w:val="18"/>
        </w:rPr>
      </w:pPr>
      <w:r>
        <w:t> </w:t>
      </w:r>
    </w:p>
    <w:p w14:paraId="34E70A94" w14:textId="77777777" w:rsidR="00B55AB2" w:rsidRPr="00D14553" w:rsidRDefault="00B55AB2" w:rsidP="00B55AB2">
      <w:pPr>
        <w:bidi/>
        <w:jc w:val="center"/>
        <w:rPr>
          <w:rFonts w:cs="Nazanin"/>
          <w:b/>
          <w:bCs/>
          <w:sz w:val="24"/>
          <w:szCs w:val="24"/>
        </w:rPr>
      </w:pPr>
    </w:p>
    <w:p w14:paraId="1FF790E7" w14:textId="77777777" w:rsidR="00CB67CE" w:rsidRDefault="00CB67CE" w:rsidP="00CB67CE">
      <w:pPr>
        <w:bidi/>
        <w:jc w:val="center"/>
        <w:rPr>
          <w:rFonts w:cs="Nazanin"/>
          <w:b/>
          <w:bCs/>
        </w:rPr>
      </w:pPr>
    </w:p>
    <w:p w14:paraId="3DC8624D" w14:textId="30626071" w:rsidR="00747DF5" w:rsidRDefault="00747DF5" w:rsidP="00747DF5">
      <w:pPr>
        <w:bidi/>
        <w:jc w:val="center"/>
        <w:rPr>
          <w:rFonts w:cs="Nazanin"/>
          <w:sz w:val="28"/>
          <w:szCs w:val="36"/>
        </w:rPr>
      </w:pPr>
      <w:r w:rsidRPr="00747DF5">
        <w:rPr>
          <w:rFonts w:cs="Nazanin"/>
          <w:b/>
          <w:bCs/>
        </w:rPr>
        <w:t>First Author</w:t>
      </w:r>
      <w:r w:rsidR="00D5468E">
        <w:rPr>
          <w:rFonts w:cs="Nazanin"/>
          <w:b/>
          <w:bCs/>
        </w:rPr>
        <w:t>:</w:t>
      </w:r>
      <w:r w:rsidRPr="00747DF5">
        <w:rPr>
          <w:rFonts w:cs="Nazanin"/>
          <w:b/>
          <w:bCs/>
        </w:rPr>
        <w:t xml:space="preserve"> </w:t>
      </w:r>
      <w:r w:rsidR="00D5468E" w:rsidRPr="00D5468E">
        <w:rPr>
          <w:rFonts w:cs="Nazanin"/>
          <w:b/>
          <w:bCs/>
          <w:szCs w:val="30"/>
        </w:rPr>
        <w:t>Hanieh Touhidinia</w:t>
      </w:r>
    </w:p>
    <w:p w14:paraId="70FD0AA5" w14:textId="61FFE0DD" w:rsidR="00747DF5" w:rsidRPr="00747DF5" w:rsidRDefault="00747DF5" w:rsidP="00747DF5">
      <w:pPr>
        <w:bidi/>
        <w:jc w:val="center"/>
        <w:rPr>
          <w:rFonts w:cs="Nazanin"/>
          <w:b/>
          <w:bCs/>
        </w:rPr>
      </w:pPr>
      <w:r w:rsidRPr="00747DF5">
        <w:rPr>
          <w:rFonts w:cs="Nazanin"/>
          <w:b/>
          <w:bCs/>
        </w:rPr>
        <w:t>Affiliation</w:t>
      </w:r>
      <w:r>
        <w:rPr>
          <w:rFonts w:cs="Nazanin"/>
          <w:b/>
          <w:bCs/>
        </w:rPr>
        <w:t xml:space="preserve"> :</w:t>
      </w:r>
      <w:r w:rsidRPr="00747DF5">
        <w:rPr>
          <w:rFonts w:cs="Nazanin"/>
          <w:sz w:val="28"/>
          <w:szCs w:val="36"/>
        </w:rPr>
        <w:t xml:space="preserve"> </w:t>
      </w:r>
      <w:r w:rsidR="00D5468E" w:rsidRPr="00496C72">
        <w:rPr>
          <w:rFonts w:cs="Nazanin"/>
          <w:b/>
          <w:bCs/>
          <w:i/>
          <w:iCs/>
          <w:szCs w:val="30"/>
        </w:rPr>
        <w:t>Andhra University</w:t>
      </w:r>
    </w:p>
    <w:p w14:paraId="777EB59F" w14:textId="77777777" w:rsidR="00F728DC" w:rsidRDefault="00F728DC" w:rsidP="00B55AB2">
      <w:pPr>
        <w:pStyle w:val="Heading2"/>
        <w:ind w:left="567" w:right="567"/>
        <w:jc w:val="both"/>
        <w:rPr>
          <w:rFonts w:cs="Nazanin"/>
          <w:sz w:val="28"/>
          <w:szCs w:val="28"/>
        </w:rPr>
      </w:pPr>
    </w:p>
    <w:p w14:paraId="7217BB9B" w14:textId="77777777" w:rsidR="00496C72" w:rsidRDefault="00496C72" w:rsidP="00D5468E">
      <w:pPr>
        <w:jc w:val="both"/>
        <w:rPr>
          <w:rFonts w:asciiTheme="majorBidi" w:hAnsiTheme="majorBidi" w:cstheme="majorBidi"/>
          <w:b/>
          <w:bCs/>
          <w:sz w:val="24"/>
          <w:szCs w:val="24"/>
        </w:rPr>
      </w:pPr>
    </w:p>
    <w:p w14:paraId="75238917" w14:textId="77777777" w:rsidR="00496C72" w:rsidRDefault="00496C72" w:rsidP="00D5468E">
      <w:pPr>
        <w:jc w:val="both"/>
        <w:rPr>
          <w:rFonts w:asciiTheme="majorBidi" w:hAnsiTheme="majorBidi" w:cstheme="majorBidi"/>
          <w:b/>
          <w:bCs/>
          <w:sz w:val="24"/>
          <w:szCs w:val="24"/>
        </w:rPr>
      </w:pPr>
    </w:p>
    <w:p w14:paraId="4E46CCEF" w14:textId="77777777" w:rsidR="00496C72" w:rsidRDefault="00496C72" w:rsidP="00D5468E">
      <w:pPr>
        <w:jc w:val="both"/>
        <w:rPr>
          <w:rFonts w:asciiTheme="majorBidi" w:hAnsiTheme="majorBidi" w:cstheme="majorBidi"/>
          <w:b/>
          <w:bCs/>
          <w:sz w:val="24"/>
          <w:szCs w:val="24"/>
        </w:rPr>
      </w:pPr>
    </w:p>
    <w:p w14:paraId="227342BE" w14:textId="77777777" w:rsidR="00496C72" w:rsidRDefault="00496C72" w:rsidP="00D5468E">
      <w:pPr>
        <w:jc w:val="both"/>
        <w:rPr>
          <w:rFonts w:asciiTheme="majorBidi" w:hAnsiTheme="majorBidi" w:cstheme="majorBidi"/>
          <w:b/>
          <w:bCs/>
          <w:sz w:val="24"/>
          <w:szCs w:val="24"/>
        </w:rPr>
      </w:pPr>
    </w:p>
    <w:p w14:paraId="7BFD5E51" w14:textId="77777777" w:rsidR="00496C72" w:rsidRDefault="00496C72" w:rsidP="00D5468E">
      <w:pPr>
        <w:jc w:val="both"/>
        <w:rPr>
          <w:rFonts w:asciiTheme="majorBidi" w:hAnsiTheme="majorBidi" w:cstheme="majorBidi"/>
          <w:b/>
          <w:bCs/>
          <w:sz w:val="24"/>
          <w:szCs w:val="24"/>
        </w:rPr>
      </w:pPr>
    </w:p>
    <w:p w14:paraId="505216F8" w14:textId="77777777" w:rsidR="00496C72" w:rsidRDefault="00496C72" w:rsidP="00D5468E">
      <w:pPr>
        <w:jc w:val="both"/>
        <w:rPr>
          <w:rFonts w:asciiTheme="majorBidi" w:hAnsiTheme="majorBidi" w:cstheme="majorBidi"/>
          <w:b/>
          <w:bCs/>
          <w:sz w:val="24"/>
          <w:szCs w:val="24"/>
        </w:rPr>
      </w:pPr>
    </w:p>
    <w:p w14:paraId="1441285F" w14:textId="279C69FE" w:rsidR="00D5468E" w:rsidRPr="00B93FA7" w:rsidRDefault="00D5468E" w:rsidP="00B93FA7">
      <w:pPr>
        <w:jc w:val="both"/>
        <w:rPr>
          <w:rFonts w:asciiTheme="majorBidi" w:hAnsiTheme="majorBidi" w:cstheme="majorBidi"/>
          <w:b/>
          <w:bCs/>
          <w:sz w:val="24"/>
          <w:szCs w:val="24"/>
        </w:rPr>
      </w:pPr>
      <w:r w:rsidRPr="007516E4">
        <w:rPr>
          <w:rFonts w:asciiTheme="majorBidi" w:hAnsiTheme="majorBidi" w:cstheme="majorBidi"/>
          <w:b/>
          <w:bCs/>
          <w:sz w:val="24"/>
          <w:szCs w:val="24"/>
        </w:rPr>
        <w:t>Abstract</w:t>
      </w:r>
    </w:p>
    <w:p w14:paraId="4664CCC0" w14:textId="6E4305B3" w:rsidR="00B93FA7" w:rsidRPr="00B93FA7" w:rsidRDefault="00D5468E" w:rsidP="00AA4195">
      <w:pPr>
        <w:jc w:val="both"/>
        <w:rPr>
          <w:rFonts w:asciiTheme="majorBidi" w:hAnsiTheme="majorBidi" w:cstheme="majorBidi"/>
        </w:rPr>
      </w:pPr>
      <w:r w:rsidRPr="00BE106A">
        <w:rPr>
          <w:rFonts w:asciiTheme="majorBidi" w:hAnsiTheme="majorBidi" w:cstheme="majorBidi"/>
        </w:rPr>
        <w:t>Global food systems face escalating threats from climate change, population growth, environmental degradation, and stringent demands for safety and sustainability. This study synthesizes recent advancements in artificial intelligence (AI), smart sensors, and Internet of Things (IoT) integrations to foster climate-resilient, efficient, and secure food production from farm to industry. Employing a hybrid methodology that combines conceptual framework design with simulation-based evaluations, we assess end-to-end cyber-physical systems incorporating modular architectures for data acquisition, analytics, and adaptive decision-making. Simulation results across baseline, partial digitalization, and fully integrated AI–IoT scenarios reveal substantial gains: yield variability reduced by up to 41% under high climate stress, recovery times shortened by 30–45%, water savings of 32–48%, energy intensity lowered by 18–26%, food waste decreased by 25–37%, and contamination detection accuracies exceeding 93%. These findings underscore the synergistic potential of AI–IoT systems in enhancing resilience, resource optimization, and traceability, while addressing key gaps in integration, generalizability, metrics, and governance. By quantifying multidimensional benefits, this work provides a replicable blueprint for transforming food systems to meet global challenges.</w:t>
      </w:r>
    </w:p>
    <w:p w14:paraId="772FCF30" w14:textId="19C4A28B" w:rsidR="00496C72" w:rsidRPr="00B93FA7" w:rsidRDefault="00496C72" w:rsidP="00B93FA7">
      <w:pPr>
        <w:jc w:val="both"/>
        <w:rPr>
          <w:rFonts w:asciiTheme="majorBidi" w:hAnsiTheme="majorBidi" w:cstheme="majorBidi"/>
        </w:rPr>
      </w:pPr>
      <w:r w:rsidRPr="00B93FA7">
        <w:rPr>
          <w:rFonts w:asciiTheme="majorBidi" w:hAnsiTheme="majorBidi" w:cstheme="majorBidi"/>
          <w:b/>
          <w:bCs/>
        </w:rPr>
        <w:t>Keywords:</w:t>
      </w:r>
      <w:r w:rsidRPr="00B93FA7">
        <w:rPr>
          <w:rFonts w:asciiTheme="majorBidi" w:hAnsiTheme="majorBidi" w:cstheme="majorBidi"/>
        </w:rPr>
        <w:t xml:space="preserve"> </w:t>
      </w:r>
      <w:r w:rsidR="00B93FA7" w:rsidRPr="00B93FA7">
        <w:t>AI-driven agriculture, Smart sensing and IoT integration, Climate-smart food systems, Digital agriculture transformation, Precision farming analytics, Food system resilience, Sustainable agri-food supply chains, Intelligent cyber-physical systems</w:t>
      </w:r>
    </w:p>
    <w:p w14:paraId="4E5C689D" w14:textId="77777777" w:rsidR="00D5468E" w:rsidRPr="00E77347" w:rsidRDefault="00D5468E" w:rsidP="00D5468E">
      <w:pPr>
        <w:jc w:val="both"/>
        <w:rPr>
          <w:rFonts w:asciiTheme="majorBidi" w:hAnsiTheme="majorBidi" w:cstheme="majorBidi"/>
          <w:sz w:val="22"/>
          <w:szCs w:val="22"/>
        </w:rPr>
      </w:pPr>
    </w:p>
    <w:p w14:paraId="37341171" w14:textId="619719BC" w:rsidR="00D5468E" w:rsidRPr="00496C72" w:rsidRDefault="00D5468E" w:rsidP="00496C72">
      <w:pPr>
        <w:pStyle w:val="ListParagraph"/>
        <w:numPr>
          <w:ilvl w:val="0"/>
          <w:numId w:val="16"/>
        </w:numPr>
        <w:jc w:val="both"/>
        <w:rPr>
          <w:rFonts w:asciiTheme="majorBidi" w:hAnsiTheme="majorBidi" w:cstheme="majorBidi"/>
          <w:b/>
          <w:bCs/>
          <w:sz w:val="24"/>
          <w:szCs w:val="24"/>
        </w:rPr>
      </w:pPr>
      <w:r w:rsidRPr="007516E4">
        <w:rPr>
          <w:rFonts w:asciiTheme="majorBidi" w:hAnsiTheme="majorBidi" w:cstheme="majorBidi"/>
          <w:b/>
          <w:bCs/>
          <w:sz w:val="24"/>
          <w:szCs w:val="24"/>
        </w:rPr>
        <w:t>Introduction</w:t>
      </w:r>
    </w:p>
    <w:p w14:paraId="64A98258" w14:textId="6503332E" w:rsidR="00BE106A" w:rsidRDefault="00D5468E" w:rsidP="00BE106A">
      <w:pPr>
        <w:jc w:val="both"/>
        <w:rPr>
          <w:rFonts w:asciiTheme="majorBidi" w:hAnsiTheme="majorBidi" w:cstheme="majorBidi"/>
        </w:rPr>
      </w:pPr>
      <w:r w:rsidRPr="00BE106A">
        <w:rPr>
          <w:rFonts w:asciiTheme="majorBidi" w:hAnsiTheme="majorBidi" w:cstheme="majorBidi"/>
        </w:rPr>
        <w:t>The global food system faces unprecedented challenges driven by climate change, resource limitations, population growth, and rising expectations for food safety and sustainability. Climate change introduces higher variability in temperature, rainfall, and extreme weather events, resulting in yield instability and resource stresses that exacerbate risks of food insecurity worldwide [1][2]. Traditional agricultural management approaches, largely based on historical norms and manual observation, lack the precision and responsiveness needed to address these rapidly evolving pressures [3]. As a consequence, inefficiencies in water usage, nutrient application, disease management, and decision-making persist across food production and supply chains.</w:t>
      </w:r>
    </w:p>
    <w:p w14:paraId="5681101F" w14:textId="3034623D" w:rsidR="00D5468E" w:rsidRPr="00BE106A" w:rsidRDefault="00D5468E" w:rsidP="00D5468E">
      <w:pPr>
        <w:jc w:val="both"/>
        <w:rPr>
          <w:rFonts w:asciiTheme="majorBidi" w:hAnsiTheme="majorBidi" w:cstheme="majorBidi"/>
        </w:rPr>
      </w:pPr>
      <w:r w:rsidRPr="00BE106A">
        <w:rPr>
          <w:rFonts w:asciiTheme="majorBidi" w:hAnsiTheme="majorBidi" w:cstheme="majorBidi"/>
        </w:rPr>
        <w:t>To address these complex challenges, digital technologies; especially AI, smart sensors, and IoT networks; have been harnessed to generate high-resolution data streams and real-time analytics that can inform proactive management decisions. The convergence of these technologies enables precision agriculture, defined as the use of data-driven tools to tailor field management practices at fine spatial and temporal scales [4][5]. Embedded sensor networks collect continuous environmental and crop data, while AI and ML models process these data to derive actionable insights, such as optimal irrigation scheduling or early pest outbreak warnings [6]. These systems not only improve operational efficiency but also enhance environmental performance by reducing excess resource inputs and mitigating waste.</w:t>
      </w:r>
    </w:p>
    <w:p w14:paraId="0A58E8A1" w14:textId="77777777" w:rsidR="00B24FCB" w:rsidRDefault="00B24FCB" w:rsidP="00D5468E">
      <w:pPr>
        <w:jc w:val="both"/>
        <w:rPr>
          <w:rFonts w:asciiTheme="majorBidi" w:hAnsiTheme="majorBidi" w:cstheme="majorBidi"/>
        </w:rPr>
      </w:pPr>
    </w:p>
    <w:p w14:paraId="712790AD" w14:textId="77777777" w:rsidR="00B93FA7" w:rsidRDefault="00B93FA7" w:rsidP="00D5468E">
      <w:pPr>
        <w:jc w:val="both"/>
        <w:rPr>
          <w:rFonts w:asciiTheme="majorBidi" w:hAnsiTheme="majorBidi" w:cstheme="majorBidi"/>
        </w:rPr>
      </w:pPr>
    </w:p>
    <w:p w14:paraId="07554BA1" w14:textId="77777777" w:rsidR="00AA4195" w:rsidRDefault="00AA4195" w:rsidP="00D5468E">
      <w:pPr>
        <w:jc w:val="both"/>
        <w:rPr>
          <w:rFonts w:asciiTheme="majorBidi" w:hAnsiTheme="majorBidi" w:cstheme="majorBidi"/>
          <w:rtl/>
        </w:rPr>
      </w:pPr>
    </w:p>
    <w:p w14:paraId="305460A3" w14:textId="01146AE4" w:rsidR="00D5468E" w:rsidRPr="00BE106A" w:rsidRDefault="00D5468E" w:rsidP="00D5468E">
      <w:pPr>
        <w:jc w:val="both"/>
        <w:rPr>
          <w:rFonts w:asciiTheme="majorBidi" w:hAnsiTheme="majorBidi" w:cstheme="majorBidi"/>
        </w:rPr>
      </w:pPr>
      <w:r w:rsidRPr="00BE106A">
        <w:rPr>
          <w:rFonts w:asciiTheme="majorBidi" w:hAnsiTheme="majorBidi" w:cstheme="majorBidi"/>
        </w:rPr>
        <w:lastRenderedPageBreak/>
        <w:t>Smart sensors; including soil moisture probes, weather stations, and plant health monitors; provide the foundational data required for AI models to interpret system states and execute automated interventions [7]. When integrated with IoT frameworks, these sensors facilitate real-time monitoring, predictive analytics, and dynamic responses to changing field conditions [8]. Furthermore, AI-enabled image analysis and remote sensing (including UAV and satellite platforms) allow for early detection of stresses and anomalies that would be difficult to detect with traditional methods.</w:t>
      </w:r>
    </w:p>
    <w:p w14:paraId="006FB446" w14:textId="43E24D50" w:rsidR="00496C72" w:rsidRPr="00BE106A" w:rsidRDefault="00D5468E" w:rsidP="00496C72">
      <w:pPr>
        <w:jc w:val="both"/>
        <w:rPr>
          <w:rFonts w:asciiTheme="majorBidi" w:hAnsiTheme="majorBidi" w:cstheme="majorBidi"/>
        </w:rPr>
      </w:pPr>
      <w:r w:rsidRPr="00BE106A">
        <w:rPr>
          <w:rFonts w:asciiTheme="majorBidi" w:hAnsiTheme="majorBidi" w:cstheme="majorBidi"/>
        </w:rPr>
        <w:t xml:space="preserve">Despite the enthusiasm around these innovations, there are significant challenges that hinder widespread adoption. High initial investment costs, limited infrastructure interoperability, and issues surrounding data governance and transparency constrain the deployment of AI–IoT systems, especially in resource-limited </w:t>
      </w:r>
    </w:p>
    <w:p w14:paraId="300C0BDB" w14:textId="07311142" w:rsidR="00D5468E" w:rsidRPr="00BE106A" w:rsidRDefault="00D5468E" w:rsidP="00D5468E">
      <w:pPr>
        <w:jc w:val="both"/>
        <w:rPr>
          <w:rFonts w:asciiTheme="majorBidi" w:hAnsiTheme="majorBidi" w:cstheme="majorBidi"/>
        </w:rPr>
      </w:pPr>
      <w:r w:rsidRPr="00BE106A">
        <w:rPr>
          <w:rFonts w:asciiTheme="majorBidi" w:hAnsiTheme="majorBidi" w:cstheme="majorBidi"/>
        </w:rPr>
        <w:t>contexts [9][10]. Additionally, ethical concerns related to data privacy and algorithmic bias further complicate large-scale implementation.</w:t>
      </w:r>
    </w:p>
    <w:p w14:paraId="592FA4B4" w14:textId="77777777" w:rsidR="00D5468E" w:rsidRPr="00BE106A" w:rsidRDefault="00D5468E" w:rsidP="00D5468E">
      <w:pPr>
        <w:jc w:val="both"/>
        <w:rPr>
          <w:rFonts w:asciiTheme="majorBidi" w:hAnsiTheme="majorBidi" w:cstheme="majorBidi"/>
        </w:rPr>
      </w:pPr>
      <w:r w:rsidRPr="00BE106A">
        <w:rPr>
          <w:rFonts w:asciiTheme="majorBidi" w:hAnsiTheme="majorBidi" w:cstheme="majorBidi"/>
        </w:rPr>
        <w:t>This paper aims to systematically examine the role of integrated AI and smart sensing technologies within climate-resilient, safe, and sustainable food systems. We focus on recent high-impact research from the past three years, identifying technological advances, evaluating their contributions, and outlining critical gaps that require future investigation.</w:t>
      </w:r>
    </w:p>
    <w:p w14:paraId="3D714888" w14:textId="77777777" w:rsidR="00496C72" w:rsidRPr="00E77347" w:rsidRDefault="00496C72" w:rsidP="00D5468E">
      <w:pPr>
        <w:jc w:val="both"/>
        <w:rPr>
          <w:rFonts w:asciiTheme="majorBidi" w:hAnsiTheme="majorBidi" w:cstheme="majorBidi"/>
          <w:sz w:val="22"/>
          <w:szCs w:val="22"/>
        </w:rPr>
      </w:pPr>
    </w:p>
    <w:p w14:paraId="70413544" w14:textId="2AEA16C7" w:rsidR="00D5468E" w:rsidRPr="00496C72" w:rsidRDefault="00D5468E" w:rsidP="00496C72">
      <w:pPr>
        <w:pStyle w:val="ListParagraph"/>
        <w:numPr>
          <w:ilvl w:val="0"/>
          <w:numId w:val="16"/>
        </w:numPr>
        <w:jc w:val="both"/>
        <w:rPr>
          <w:rFonts w:asciiTheme="majorBidi" w:hAnsiTheme="majorBidi" w:cstheme="majorBidi"/>
          <w:b/>
          <w:bCs/>
          <w:sz w:val="22"/>
          <w:szCs w:val="22"/>
        </w:rPr>
      </w:pPr>
      <w:r w:rsidRPr="00496C72">
        <w:rPr>
          <w:rFonts w:asciiTheme="majorBidi" w:hAnsiTheme="majorBidi" w:cstheme="majorBidi"/>
          <w:b/>
          <w:bCs/>
          <w:sz w:val="22"/>
          <w:szCs w:val="22"/>
        </w:rPr>
        <w:t>Literature Review</w:t>
      </w:r>
    </w:p>
    <w:p w14:paraId="10A5702F" w14:textId="77777777" w:rsidR="00D5468E" w:rsidRPr="00965D39" w:rsidRDefault="00D5468E" w:rsidP="00D5468E">
      <w:pPr>
        <w:jc w:val="both"/>
        <w:rPr>
          <w:rFonts w:asciiTheme="majorBidi" w:hAnsiTheme="majorBidi" w:cstheme="majorBidi"/>
          <w:i/>
          <w:iCs/>
        </w:rPr>
      </w:pPr>
      <w:r w:rsidRPr="00965D39">
        <w:rPr>
          <w:rFonts w:asciiTheme="majorBidi" w:hAnsiTheme="majorBidi" w:cstheme="majorBidi"/>
          <w:i/>
          <w:iCs/>
        </w:rPr>
        <w:t>2.1 Digital Transformation of Food Systems under Climate Stress</w:t>
      </w:r>
    </w:p>
    <w:p w14:paraId="35CD85EE" w14:textId="77777777" w:rsidR="00D5468E" w:rsidRPr="00BE106A" w:rsidRDefault="00D5468E" w:rsidP="00D5468E">
      <w:pPr>
        <w:jc w:val="both"/>
        <w:rPr>
          <w:rFonts w:asciiTheme="majorBidi" w:hAnsiTheme="majorBidi" w:cstheme="majorBidi"/>
        </w:rPr>
      </w:pPr>
      <w:r w:rsidRPr="00BE106A">
        <w:rPr>
          <w:rFonts w:asciiTheme="majorBidi" w:hAnsiTheme="majorBidi" w:cstheme="majorBidi"/>
        </w:rPr>
        <w:t>Climate change has emerged as a dominant destabilizing force within global food systems, affecting crop productivity, supply chain reliability, and food safety outcomes [1][11]. Rising temperature variability, altered precipitation patterns, and increased frequency of extreme weather events introduce nonlinear risks that conventional agricultural decision-making frameworks are ill-equipped to manage [3]. Recent literature emphasizes that climate resilience in food systems requires adaptive, predictive, and data-intensive approaches rather than reactive management strategies [12].</w:t>
      </w:r>
    </w:p>
    <w:p w14:paraId="2897C08C" w14:textId="2E7C0880" w:rsidR="00D5468E" w:rsidRPr="00BE106A" w:rsidRDefault="00D5468E" w:rsidP="00D5468E">
      <w:pPr>
        <w:jc w:val="both"/>
        <w:rPr>
          <w:rFonts w:asciiTheme="majorBidi" w:hAnsiTheme="majorBidi" w:cstheme="majorBidi"/>
        </w:rPr>
      </w:pPr>
      <w:r w:rsidRPr="00BE106A">
        <w:rPr>
          <w:rFonts w:asciiTheme="majorBidi" w:hAnsiTheme="majorBidi" w:cstheme="majorBidi"/>
        </w:rPr>
        <w:t>Digital transformation; particularly through AI-enabled sensing and analytics; has been identified as a cornerstone of climate-smart agriculture [13]. Studies published after 2022 consistently highlight that real-time environmental monitoring combined with predictive modeling can reduce vulnerability to climate shocks by enabling early intervention and optimized resource allocation [</w:t>
      </w:r>
      <w:r w:rsidR="003F63EF">
        <w:rPr>
          <w:rFonts w:asciiTheme="majorBidi" w:hAnsiTheme="majorBidi" w:cstheme="majorBidi"/>
        </w:rPr>
        <w:t>20</w:t>
      </w:r>
      <w:r w:rsidRPr="00BE106A">
        <w:rPr>
          <w:rFonts w:asciiTheme="majorBidi" w:hAnsiTheme="majorBidi" w:cstheme="majorBidi"/>
        </w:rPr>
        <w:t>]. Unlike static rule-based systems, AI models continuously learn from dynamic environmental feedback, enhancing robustness under uncertainty [</w:t>
      </w:r>
      <w:r w:rsidR="003F63EF">
        <w:rPr>
          <w:rFonts w:asciiTheme="majorBidi" w:hAnsiTheme="majorBidi" w:cstheme="majorBidi"/>
        </w:rPr>
        <w:t>25</w:t>
      </w:r>
      <w:r w:rsidRPr="00BE106A">
        <w:rPr>
          <w:rFonts w:asciiTheme="majorBidi" w:hAnsiTheme="majorBidi" w:cstheme="majorBidi"/>
        </w:rPr>
        <w:t>].</w:t>
      </w:r>
    </w:p>
    <w:p w14:paraId="60C28077" w14:textId="77777777" w:rsidR="00D5468E" w:rsidRPr="00BE106A" w:rsidRDefault="00D5468E" w:rsidP="00D5468E">
      <w:pPr>
        <w:jc w:val="both"/>
        <w:rPr>
          <w:rFonts w:asciiTheme="majorBidi" w:hAnsiTheme="majorBidi" w:cstheme="majorBidi"/>
        </w:rPr>
      </w:pPr>
      <w:r w:rsidRPr="00BE106A">
        <w:rPr>
          <w:rFonts w:asciiTheme="majorBidi" w:hAnsiTheme="majorBidi" w:cstheme="majorBidi"/>
        </w:rPr>
        <w:t>However, despite the acknowledged potential, the literature indicates that system-level integration across food system stages remains fragmented, with most studies focusing on isolated applications rather than end-to-end resilience [16]. This fragmentation constitutes a major research gap, particularly in linking on-farm AI sensing to downstream food safety and industrial processing decisions [17].</w:t>
      </w:r>
    </w:p>
    <w:p w14:paraId="20C74B9F" w14:textId="77777777" w:rsidR="00D5468E" w:rsidRPr="00E77347" w:rsidRDefault="00D5468E" w:rsidP="00D5468E">
      <w:pPr>
        <w:jc w:val="both"/>
        <w:rPr>
          <w:rFonts w:asciiTheme="majorBidi" w:hAnsiTheme="majorBidi" w:cstheme="majorBidi"/>
          <w:sz w:val="22"/>
          <w:szCs w:val="22"/>
        </w:rPr>
      </w:pPr>
    </w:p>
    <w:p w14:paraId="18ACC5F1" w14:textId="77777777" w:rsidR="00D5468E" w:rsidRPr="00AA4195" w:rsidRDefault="00D5468E" w:rsidP="00D5468E">
      <w:pPr>
        <w:jc w:val="both"/>
        <w:rPr>
          <w:rFonts w:asciiTheme="majorBidi" w:hAnsiTheme="majorBidi" w:cstheme="majorBidi"/>
          <w:i/>
          <w:iCs/>
        </w:rPr>
      </w:pPr>
      <w:r w:rsidRPr="00AA4195">
        <w:rPr>
          <w:rFonts w:asciiTheme="majorBidi" w:hAnsiTheme="majorBidi" w:cstheme="majorBidi"/>
          <w:i/>
          <w:iCs/>
        </w:rPr>
        <w:t>2.2 Smart Sensor Technologies and IoT Architectures in Agriculture</w:t>
      </w:r>
    </w:p>
    <w:p w14:paraId="3732645A" w14:textId="77777777" w:rsidR="00D5468E" w:rsidRPr="00BE106A" w:rsidRDefault="00D5468E" w:rsidP="00D5468E">
      <w:pPr>
        <w:jc w:val="both"/>
        <w:rPr>
          <w:rFonts w:asciiTheme="majorBidi" w:hAnsiTheme="majorBidi" w:cstheme="majorBidi"/>
        </w:rPr>
      </w:pPr>
      <w:r w:rsidRPr="00BE106A">
        <w:rPr>
          <w:rFonts w:asciiTheme="majorBidi" w:hAnsiTheme="majorBidi" w:cstheme="majorBidi"/>
        </w:rPr>
        <w:t>Smart sensors form the foundational layer of digital food systems by enabling continuous, high-resolution data acquisition across biophysical and operational dimensions [7]. Recent advances include soil moisture sensors, multispectral and hyperspectral imaging devices, microclimate stations, and biosensors for plant health monitoring [18]. These sensors are increasingly embedded within IoT architectures, allowing seamless data transmission to edge or cloud computing platforms [8].</w:t>
      </w:r>
    </w:p>
    <w:p w14:paraId="23409435" w14:textId="738711F2" w:rsidR="00D5468E" w:rsidRPr="00BE106A" w:rsidRDefault="00D5468E" w:rsidP="00D5468E">
      <w:pPr>
        <w:jc w:val="both"/>
        <w:rPr>
          <w:rFonts w:asciiTheme="majorBidi" w:hAnsiTheme="majorBidi" w:cstheme="majorBidi"/>
        </w:rPr>
      </w:pPr>
      <w:r w:rsidRPr="00BE106A">
        <w:rPr>
          <w:rFonts w:asciiTheme="majorBidi" w:hAnsiTheme="majorBidi" w:cstheme="majorBidi"/>
        </w:rPr>
        <w:t>Post-2022 studies demonstrate that IoT-enabled sensor networks significantly enhance monitoring accuracy and temporal resolution compared to manual sampling approaches [</w:t>
      </w:r>
      <w:r w:rsidR="00751828">
        <w:rPr>
          <w:rFonts w:asciiTheme="majorBidi" w:hAnsiTheme="majorBidi" w:cstheme="majorBidi"/>
        </w:rPr>
        <w:t>30</w:t>
      </w:r>
      <w:r w:rsidRPr="00BE106A">
        <w:rPr>
          <w:rFonts w:asciiTheme="majorBidi" w:hAnsiTheme="majorBidi" w:cstheme="majorBidi"/>
        </w:rPr>
        <w:t>]. For example, sensor-driven irrigation systems have been shown to reduce water use by 30–50% while maintaining or improving yield stability under drought conditions [20]. Similar gains have been reported in nutrient management and microclimate control [</w:t>
      </w:r>
      <w:r w:rsidR="00751828">
        <w:rPr>
          <w:rFonts w:asciiTheme="majorBidi" w:hAnsiTheme="majorBidi" w:cstheme="majorBidi"/>
        </w:rPr>
        <w:t>29</w:t>
      </w:r>
      <w:r w:rsidRPr="00BE106A">
        <w:rPr>
          <w:rFonts w:asciiTheme="majorBidi" w:hAnsiTheme="majorBidi" w:cstheme="majorBidi"/>
        </w:rPr>
        <w:t>].</w:t>
      </w:r>
    </w:p>
    <w:p w14:paraId="7F8281FA" w14:textId="77777777" w:rsidR="00D5468E" w:rsidRPr="00BE106A" w:rsidRDefault="00D5468E" w:rsidP="00D5468E">
      <w:pPr>
        <w:jc w:val="both"/>
        <w:rPr>
          <w:rFonts w:asciiTheme="majorBidi" w:hAnsiTheme="majorBidi" w:cstheme="majorBidi"/>
        </w:rPr>
      </w:pPr>
      <w:r w:rsidRPr="00BE106A">
        <w:rPr>
          <w:rFonts w:asciiTheme="majorBidi" w:hAnsiTheme="majorBidi" w:cstheme="majorBidi"/>
        </w:rPr>
        <w:t>Nevertheless, interoperability challenges persist due to heterogeneous hardware standards, proprietary communication protocols, and fragmented data models [9]. Several authors argue that without standardized architectures and open data frameworks, the scalability of smart sensing systems will remain constrained [22].</w:t>
      </w:r>
    </w:p>
    <w:p w14:paraId="4CC15406" w14:textId="77777777" w:rsidR="00D5468E" w:rsidRPr="00E77347" w:rsidRDefault="00D5468E" w:rsidP="00D5468E">
      <w:pPr>
        <w:jc w:val="both"/>
        <w:rPr>
          <w:rFonts w:asciiTheme="majorBidi" w:hAnsiTheme="majorBidi" w:cstheme="majorBidi"/>
          <w:sz w:val="22"/>
          <w:szCs w:val="22"/>
        </w:rPr>
      </w:pPr>
    </w:p>
    <w:p w14:paraId="2324D375" w14:textId="16E021BB" w:rsidR="00D5468E" w:rsidRPr="00BE106A" w:rsidRDefault="00D5468E" w:rsidP="00496C72">
      <w:pPr>
        <w:jc w:val="both"/>
        <w:rPr>
          <w:rFonts w:asciiTheme="majorBidi" w:hAnsiTheme="majorBidi" w:cstheme="majorBidi"/>
          <w:b/>
          <w:bCs/>
          <w:sz w:val="18"/>
          <w:szCs w:val="18"/>
        </w:rPr>
      </w:pPr>
      <w:r w:rsidRPr="00BE106A">
        <w:rPr>
          <w:rFonts w:asciiTheme="majorBidi" w:hAnsiTheme="majorBidi" w:cstheme="majorBidi"/>
          <w:b/>
          <w:bCs/>
          <w:sz w:val="18"/>
          <w:szCs w:val="18"/>
        </w:rPr>
        <w:t>Table 1</w:t>
      </w:r>
      <w:r w:rsidR="00496C72" w:rsidRPr="00BE106A">
        <w:rPr>
          <w:rFonts w:asciiTheme="majorBidi" w:hAnsiTheme="majorBidi" w:cstheme="majorBidi"/>
          <w:b/>
          <w:bCs/>
          <w:sz w:val="18"/>
          <w:szCs w:val="18"/>
        </w:rPr>
        <w:t xml:space="preserve">: </w:t>
      </w:r>
      <w:r w:rsidRPr="00BE106A">
        <w:rPr>
          <w:rFonts w:asciiTheme="majorBidi" w:hAnsiTheme="majorBidi" w:cstheme="majorBidi"/>
          <w:b/>
          <w:bCs/>
          <w:sz w:val="18"/>
          <w:szCs w:val="18"/>
        </w:rPr>
        <w:t>Overview of smart sensor types, monitored variables, and applications across food system stages.</w:t>
      </w:r>
    </w:p>
    <w:tbl>
      <w:tblPr>
        <w:tblStyle w:val="TableGrid"/>
        <w:tblW w:w="0" w:type="auto"/>
        <w:tblLook w:val="04A0" w:firstRow="1" w:lastRow="0" w:firstColumn="1" w:lastColumn="0" w:noHBand="0" w:noVBand="1"/>
      </w:tblPr>
      <w:tblGrid>
        <w:gridCol w:w="2679"/>
        <w:gridCol w:w="2862"/>
        <w:gridCol w:w="3804"/>
      </w:tblGrid>
      <w:tr w:rsidR="00D5468E" w:rsidRPr="00BE106A" w14:paraId="767D5FBC" w14:textId="77777777" w:rsidTr="00A25402">
        <w:tc>
          <w:tcPr>
            <w:tcW w:w="0" w:type="auto"/>
            <w:hideMark/>
          </w:tcPr>
          <w:p w14:paraId="56D0F99B" w14:textId="77777777" w:rsidR="00D5468E" w:rsidRPr="00BE106A" w:rsidRDefault="00D5468E" w:rsidP="00A25402">
            <w:pPr>
              <w:jc w:val="center"/>
              <w:rPr>
                <w:rFonts w:cs="Times New Roman"/>
                <w:b/>
                <w:bCs/>
                <w:noProof w:val="0"/>
                <w:sz w:val="18"/>
                <w:szCs w:val="18"/>
              </w:rPr>
            </w:pPr>
            <w:r w:rsidRPr="00BE106A">
              <w:rPr>
                <w:rFonts w:cs="Times New Roman"/>
                <w:b/>
                <w:bCs/>
                <w:noProof w:val="0"/>
                <w:sz w:val="18"/>
                <w:szCs w:val="18"/>
              </w:rPr>
              <w:t>Sensor Type</w:t>
            </w:r>
          </w:p>
        </w:tc>
        <w:tc>
          <w:tcPr>
            <w:tcW w:w="0" w:type="auto"/>
            <w:hideMark/>
          </w:tcPr>
          <w:p w14:paraId="2A04A1CD" w14:textId="77777777" w:rsidR="00D5468E" w:rsidRPr="00BE106A" w:rsidRDefault="00D5468E" w:rsidP="00A25402">
            <w:pPr>
              <w:jc w:val="center"/>
              <w:rPr>
                <w:rFonts w:cs="Times New Roman"/>
                <w:b/>
                <w:bCs/>
                <w:noProof w:val="0"/>
                <w:sz w:val="18"/>
                <w:szCs w:val="18"/>
              </w:rPr>
            </w:pPr>
            <w:r w:rsidRPr="00BE106A">
              <w:rPr>
                <w:rFonts w:cs="Times New Roman"/>
                <w:b/>
                <w:bCs/>
                <w:noProof w:val="0"/>
                <w:sz w:val="18"/>
                <w:szCs w:val="18"/>
              </w:rPr>
              <w:t>Monitored Variables</w:t>
            </w:r>
          </w:p>
        </w:tc>
        <w:tc>
          <w:tcPr>
            <w:tcW w:w="0" w:type="auto"/>
            <w:hideMark/>
          </w:tcPr>
          <w:p w14:paraId="0EBFFDEF" w14:textId="77777777" w:rsidR="00D5468E" w:rsidRPr="00BE106A" w:rsidRDefault="00D5468E" w:rsidP="00A25402">
            <w:pPr>
              <w:jc w:val="center"/>
              <w:rPr>
                <w:rFonts w:cs="Times New Roman"/>
                <w:b/>
                <w:bCs/>
                <w:noProof w:val="0"/>
                <w:sz w:val="18"/>
                <w:szCs w:val="18"/>
              </w:rPr>
            </w:pPr>
            <w:r w:rsidRPr="00BE106A">
              <w:rPr>
                <w:rFonts w:cs="Times New Roman"/>
                <w:b/>
                <w:bCs/>
                <w:noProof w:val="0"/>
                <w:sz w:val="18"/>
                <w:szCs w:val="18"/>
              </w:rPr>
              <w:t>Applications Across Food System Stages</w:t>
            </w:r>
          </w:p>
        </w:tc>
      </w:tr>
      <w:tr w:rsidR="00D5468E" w:rsidRPr="00BE106A" w14:paraId="1A62A9AB" w14:textId="77777777" w:rsidTr="00A25402">
        <w:tc>
          <w:tcPr>
            <w:tcW w:w="0" w:type="auto"/>
            <w:hideMark/>
          </w:tcPr>
          <w:p w14:paraId="42CEAC0D" w14:textId="77777777" w:rsidR="00D5468E" w:rsidRPr="00BE106A" w:rsidRDefault="00D5468E" w:rsidP="00A25402">
            <w:pPr>
              <w:rPr>
                <w:rFonts w:cs="Times New Roman"/>
                <w:noProof w:val="0"/>
                <w:sz w:val="18"/>
                <w:szCs w:val="18"/>
              </w:rPr>
            </w:pPr>
            <w:r w:rsidRPr="00BE106A">
              <w:rPr>
                <w:rFonts w:cs="Times New Roman"/>
                <w:noProof w:val="0"/>
                <w:sz w:val="18"/>
                <w:szCs w:val="18"/>
              </w:rPr>
              <w:t>Soil Moisture Sensors</w:t>
            </w:r>
          </w:p>
        </w:tc>
        <w:tc>
          <w:tcPr>
            <w:tcW w:w="0" w:type="auto"/>
            <w:hideMark/>
          </w:tcPr>
          <w:p w14:paraId="0DAB5933" w14:textId="77777777" w:rsidR="00D5468E" w:rsidRPr="00BE106A" w:rsidRDefault="00D5468E" w:rsidP="00A25402">
            <w:pPr>
              <w:rPr>
                <w:rFonts w:cs="Times New Roman"/>
                <w:noProof w:val="0"/>
                <w:sz w:val="18"/>
                <w:szCs w:val="18"/>
              </w:rPr>
            </w:pPr>
            <w:r w:rsidRPr="00BE106A">
              <w:rPr>
                <w:rFonts w:cs="Times New Roman"/>
                <w:noProof w:val="0"/>
                <w:sz w:val="18"/>
                <w:szCs w:val="18"/>
              </w:rPr>
              <w:t>Soil water content, volumetric water</w:t>
            </w:r>
          </w:p>
        </w:tc>
        <w:tc>
          <w:tcPr>
            <w:tcW w:w="0" w:type="auto"/>
            <w:hideMark/>
          </w:tcPr>
          <w:p w14:paraId="0189B147" w14:textId="77777777" w:rsidR="00D5468E" w:rsidRPr="00BE106A" w:rsidRDefault="00D5468E" w:rsidP="00A25402">
            <w:pPr>
              <w:rPr>
                <w:rFonts w:cs="Times New Roman"/>
                <w:noProof w:val="0"/>
                <w:sz w:val="18"/>
                <w:szCs w:val="18"/>
              </w:rPr>
            </w:pPr>
            <w:r w:rsidRPr="00BE106A">
              <w:rPr>
                <w:rFonts w:cs="Times New Roman"/>
                <w:noProof w:val="0"/>
                <w:sz w:val="18"/>
                <w:szCs w:val="18"/>
              </w:rPr>
              <w:t>On-farm irrigation scheduling, drought monitoring</w:t>
            </w:r>
          </w:p>
        </w:tc>
      </w:tr>
      <w:tr w:rsidR="00D5468E" w:rsidRPr="00BE106A" w14:paraId="7A8AAEBF" w14:textId="77777777" w:rsidTr="00A25402">
        <w:tc>
          <w:tcPr>
            <w:tcW w:w="0" w:type="auto"/>
            <w:hideMark/>
          </w:tcPr>
          <w:p w14:paraId="5613B36D" w14:textId="77777777" w:rsidR="00D5468E" w:rsidRPr="00BE106A" w:rsidRDefault="00D5468E" w:rsidP="00A25402">
            <w:pPr>
              <w:rPr>
                <w:rFonts w:cs="Times New Roman"/>
                <w:noProof w:val="0"/>
                <w:sz w:val="18"/>
                <w:szCs w:val="18"/>
              </w:rPr>
            </w:pPr>
            <w:r w:rsidRPr="00BE106A">
              <w:rPr>
                <w:rFonts w:cs="Times New Roman"/>
                <w:noProof w:val="0"/>
                <w:sz w:val="18"/>
                <w:szCs w:val="18"/>
              </w:rPr>
              <w:t>Multispectral/Hyperspectral Imaging</w:t>
            </w:r>
          </w:p>
        </w:tc>
        <w:tc>
          <w:tcPr>
            <w:tcW w:w="0" w:type="auto"/>
            <w:hideMark/>
          </w:tcPr>
          <w:p w14:paraId="4CD74BAE" w14:textId="77777777" w:rsidR="00D5468E" w:rsidRPr="00BE106A" w:rsidRDefault="00D5468E" w:rsidP="00A25402">
            <w:pPr>
              <w:rPr>
                <w:rFonts w:cs="Times New Roman"/>
                <w:noProof w:val="0"/>
                <w:sz w:val="18"/>
                <w:szCs w:val="18"/>
              </w:rPr>
            </w:pPr>
            <w:r w:rsidRPr="00BE106A">
              <w:rPr>
                <w:rFonts w:cs="Times New Roman"/>
                <w:noProof w:val="0"/>
                <w:sz w:val="18"/>
                <w:szCs w:val="18"/>
              </w:rPr>
              <w:t>Plant reflectance, NDVI, stress indices</w:t>
            </w:r>
          </w:p>
        </w:tc>
        <w:tc>
          <w:tcPr>
            <w:tcW w:w="0" w:type="auto"/>
            <w:hideMark/>
          </w:tcPr>
          <w:p w14:paraId="7A7F23BB" w14:textId="77777777" w:rsidR="00D5468E" w:rsidRPr="00BE106A" w:rsidRDefault="00D5468E" w:rsidP="00A25402">
            <w:pPr>
              <w:rPr>
                <w:rFonts w:cs="Times New Roman"/>
                <w:noProof w:val="0"/>
                <w:sz w:val="18"/>
                <w:szCs w:val="18"/>
              </w:rPr>
            </w:pPr>
            <w:r w:rsidRPr="00BE106A">
              <w:rPr>
                <w:rFonts w:cs="Times New Roman"/>
                <w:noProof w:val="0"/>
                <w:sz w:val="18"/>
                <w:szCs w:val="18"/>
              </w:rPr>
              <w:t>Crop health monitoring, disease detection, yield prediction</w:t>
            </w:r>
          </w:p>
        </w:tc>
      </w:tr>
      <w:tr w:rsidR="00D5468E" w:rsidRPr="00BE106A" w14:paraId="74830084" w14:textId="77777777" w:rsidTr="00A25402">
        <w:tc>
          <w:tcPr>
            <w:tcW w:w="0" w:type="auto"/>
            <w:hideMark/>
          </w:tcPr>
          <w:p w14:paraId="355ED24B" w14:textId="77777777" w:rsidR="00D5468E" w:rsidRPr="00BE106A" w:rsidRDefault="00D5468E" w:rsidP="00A25402">
            <w:pPr>
              <w:rPr>
                <w:rFonts w:cs="Times New Roman"/>
                <w:noProof w:val="0"/>
                <w:sz w:val="18"/>
                <w:szCs w:val="18"/>
              </w:rPr>
            </w:pPr>
            <w:r w:rsidRPr="00BE106A">
              <w:rPr>
                <w:rFonts w:cs="Times New Roman"/>
                <w:noProof w:val="0"/>
                <w:sz w:val="18"/>
                <w:szCs w:val="18"/>
              </w:rPr>
              <w:t>Microclimate Stations</w:t>
            </w:r>
          </w:p>
        </w:tc>
        <w:tc>
          <w:tcPr>
            <w:tcW w:w="0" w:type="auto"/>
            <w:hideMark/>
          </w:tcPr>
          <w:p w14:paraId="11B6594C" w14:textId="77777777" w:rsidR="00D5468E" w:rsidRPr="00BE106A" w:rsidRDefault="00D5468E" w:rsidP="00A25402">
            <w:pPr>
              <w:rPr>
                <w:rFonts w:cs="Times New Roman"/>
                <w:noProof w:val="0"/>
                <w:sz w:val="18"/>
                <w:szCs w:val="18"/>
              </w:rPr>
            </w:pPr>
            <w:r w:rsidRPr="00BE106A">
              <w:rPr>
                <w:rFonts w:cs="Times New Roman"/>
                <w:noProof w:val="0"/>
                <w:sz w:val="18"/>
                <w:szCs w:val="18"/>
              </w:rPr>
              <w:t>Temperature, humidity, rainfall, wind</w:t>
            </w:r>
          </w:p>
        </w:tc>
        <w:tc>
          <w:tcPr>
            <w:tcW w:w="0" w:type="auto"/>
            <w:hideMark/>
          </w:tcPr>
          <w:p w14:paraId="1B8C681E" w14:textId="77777777" w:rsidR="00D5468E" w:rsidRPr="00BE106A" w:rsidRDefault="00D5468E" w:rsidP="00A25402">
            <w:pPr>
              <w:rPr>
                <w:rFonts w:cs="Times New Roman"/>
                <w:noProof w:val="0"/>
                <w:sz w:val="18"/>
                <w:szCs w:val="18"/>
              </w:rPr>
            </w:pPr>
            <w:r w:rsidRPr="00BE106A">
              <w:rPr>
                <w:rFonts w:cs="Times New Roman"/>
                <w:noProof w:val="0"/>
                <w:sz w:val="18"/>
                <w:szCs w:val="18"/>
              </w:rPr>
              <w:t>Weather forecasting, microclimate control in fields/greenhouses</w:t>
            </w:r>
          </w:p>
        </w:tc>
      </w:tr>
      <w:tr w:rsidR="00D5468E" w:rsidRPr="00BE106A" w14:paraId="0D845355" w14:textId="77777777" w:rsidTr="00A25402">
        <w:tc>
          <w:tcPr>
            <w:tcW w:w="0" w:type="auto"/>
            <w:hideMark/>
          </w:tcPr>
          <w:p w14:paraId="60B7BBF1" w14:textId="77777777" w:rsidR="00D5468E" w:rsidRPr="00BE106A" w:rsidRDefault="00D5468E" w:rsidP="00A25402">
            <w:pPr>
              <w:rPr>
                <w:rFonts w:cs="Times New Roman"/>
                <w:noProof w:val="0"/>
                <w:sz w:val="18"/>
                <w:szCs w:val="18"/>
              </w:rPr>
            </w:pPr>
            <w:r w:rsidRPr="00BE106A">
              <w:rPr>
                <w:rFonts w:cs="Times New Roman"/>
                <w:noProof w:val="0"/>
                <w:sz w:val="18"/>
                <w:szCs w:val="18"/>
              </w:rPr>
              <w:t>Biosensors</w:t>
            </w:r>
          </w:p>
        </w:tc>
        <w:tc>
          <w:tcPr>
            <w:tcW w:w="0" w:type="auto"/>
            <w:hideMark/>
          </w:tcPr>
          <w:p w14:paraId="03B1ED4A" w14:textId="77777777" w:rsidR="00D5468E" w:rsidRPr="00BE106A" w:rsidRDefault="00D5468E" w:rsidP="00A25402">
            <w:pPr>
              <w:rPr>
                <w:rFonts w:cs="Times New Roman"/>
                <w:noProof w:val="0"/>
                <w:sz w:val="18"/>
                <w:szCs w:val="18"/>
              </w:rPr>
            </w:pPr>
            <w:r w:rsidRPr="00BE106A">
              <w:rPr>
                <w:rFonts w:cs="Times New Roman"/>
                <w:noProof w:val="0"/>
                <w:sz w:val="18"/>
                <w:szCs w:val="18"/>
              </w:rPr>
              <w:t>Plant pathogens, nutrients, volatiles</w:t>
            </w:r>
          </w:p>
        </w:tc>
        <w:tc>
          <w:tcPr>
            <w:tcW w:w="0" w:type="auto"/>
            <w:hideMark/>
          </w:tcPr>
          <w:p w14:paraId="5BE8D01A" w14:textId="77777777" w:rsidR="00D5468E" w:rsidRPr="00BE106A" w:rsidRDefault="00D5468E" w:rsidP="00A25402">
            <w:pPr>
              <w:rPr>
                <w:rFonts w:cs="Times New Roman"/>
                <w:noProof w:val="0"/>
                <w:sz w:val="18"/>
                <w:szCs w:val="18"/>
              </w:rPr>
            </w:pPr>
            <w:r w:rsidRPr="00BE106A">
              <w:rPr>
                <w:rFonts w:cs="Times New Roman"/>
                <w:noProof w:val="0"/>
                <w:sz w:val="18"/>
                <w:szCs w:val="18"/>
              </w:rPr>
              <w:t>Early pest/disease detection, plant health monitoring</w:t>
            </w:r>
          </w:p>
        </w:tc>
      </w:tr>
      <w:tr w:rsidR="00D5468E" w:rsidRPr="00BE106A" w14:paraId="30CCD65F" w14:textId="77777777" w:rsidTr="00A25402">
        <w:tc>
          <w:tcPr>
            <w:tcW w:w="0" w:type="auto"/>
            <w:hideMark/>
          </w:tcPr>
          <w:p w14:paraId="287DAE36" w14:textId="77777777" w:rsidR="00D5468E" w:rsidRPr="00BE106A" w:rsidRDefault="00D5468E" w:rsidP="00A25402">
            <w:pPr>
              <w:rPr>
                <w:rFonts w:cs="Times New Roman"/>
                <w:noProof w:val="0"/>
                <w:sz w:val="18"/>
                <w:szCs w:val="18"/>
              </w:rPr>
            </w:pPr>
            <w:r w:rsidRPr="00BE106A">
              <w:rPr>
                <w:rFonts w:cs="Times New Roman"/>
                <w:noProof w:val="0"/>
                <w:sz w:val="18"/>
                <w:szCs w:val="18"/>
              </w:rPr>
              <w:t>Temperature/Humidity Sensors</w:t>
            </w:r>
          </w:p>
        </w:tc>
        <w:tc>
          <w:tcPr>
            <w:tcW w:w="0" w:type="auto"/>
            <w:hideMark/>
          </w:tcPr>
          <w:p w14:paraId="78910848" w14:textId="77777777" w:rsidR="00D5468E" w:rsidRPr="00BE106A" w:rsidRDefault="00D5468E" w:rsidP="00A25402">
            <w:pPr>
              <w:rPr>
                <w:rFonts w:cs="Times New Roman"/>
                <w:noProof w:val="0"/>
                <w:sz w:val="18"/>
                <w:szCs w:val="18"/>
              </w:rPr>
            </w:pPr>
            <w:r w:rsidRPr="00BE106A">
              <w:rPr>
                <w:rFonts w:cs="Times New Roman"/>
                <w:noProof w:val="0"/>
                <w:sz w:val="18"/>
                <w:szCs w:val="18"/>
              </w:rPr>
              <w:t>Environmental conditions in storage/transport</w:t>
            </w:r>
          </w:p>
        </w:tc>
        <w:tc>
          <w:tcPr>
            <w:tcW w:w="0" w:type="auto"/>
            <w:hideMark/>
          </w:tcPr>
          <w:p w14:paraId="6EF7BAF9" w14:textId="77777777" w:rsidR="00D5468E" w:rsidRPr="00BE106A" w:rsidRDefault="00D5468E" w:rsidP="00A25402">
            <w:pPr>
              <w:rPr>
                <w:rFonts w:cs="Times New Roman"/>
                <w:noProof w:val="0"/>
                <w:sz w:val="18"/>
                <w:szCs w:val="18"/>
              </w:rPr>
            </w:pPr>
            <w:r w:rsidRPr="00BE106A">
              <w:rPr>
                <w:rFonts w:cs="Times New Roman"/>
                <w:noProof w:val="0"/>
                <w:sz w:val="18"/>
                <w:szCs w:val="18"/>
              </w:rPr>
              <w:t>Post-harvest spoilage prevention, cold chain monitoring</w:t>
            </w:r>
          </w:p>
        </w:tc>
      </w:tr>
      <w:tr w:rsidR="00D5468E" w:rsidRPr="00BE106A" w14:paraId="2CADB15C" w14:textId="77777777" w:rsidTr="00A25402">
        <w:tc>
          <w:tcPr>
            <w:tcW w:w="0" w:type="auto"/>
            <w:hideMark/>
          </w:tcPr>
          <w:p w14:paraId="3D48D45A" w14:textId="77777777" w:rsidR="00D5468E" w:rsidRPr="00BE106A" w:rsidRDefault="00D5468E" w:rsidP="00A25402">
            <w:pPr>
              <w:rPr>
                <w:rFonts w:cs="Times New Roman"/>
                <w:noProof w:val="0"/>
                <w:sz w:val="18"/>
                <w:szCs w:val="18"/>
              </w:rPr>
            </w:pPr>
            <w:r w:rsidRPr="00BE106A">
              <w:rPr>
                <w:rFonts w:cs="Times New Roman"/>
                <w:noProof w:val="0"/>
                <w:sz w:val="18"/>
                <w:szCs w:val="18"/>
              </w:rPr>
              <w:t>Gas Sensors</w:t>
            </w:r>
          </w:p>
        </w:tc>
        <w:tc>
          <w:tcPr>
            <w:tcW w:w="0" w:type="auto"/>
            <w:hideMark/>
          </w:tcPr>
          <w:p w14:paraId="2E07525E" w14:textId="77777777" w:rsidR="00D5468E" w:rsidRPr="00BE106A" w:rsidRDefault="00D5468E" w:rsidP="00A25402">
            <w:pPr>
              <w:rPr>
                <w:rFonts w:cs="Times New Roman"/>
                <w:noProof w:val="0"/>
                <w:sz w:val="18"/>
                <w:szCs w:val="18"/>
              </w:rPr>
            </w:pPr>
            <w:r w:rsidRPr="00BE106A">
              <w:rPr>
                <w:rFonts w:cs="Times New Roman"/>
                <w:noProof w:val="0"/>
                <w:sz w:val="18"/>
                <w:szCs w:val="18"/>
              </w:rPr>
              <w:t>Ethylene, CO2, volatiles</w:t>
            </w:r>
          </w:p>
        </w:tc>
        <w:tc>
          <w:tcPr>
            <w:tcW w:w="0" w:type="auto"/>
            <w:hideMark/>
          </w:tcPr>
          <w:p w14:paraId="69EFB989" w14:textId="77777777" w:rsidR="00D5468E" w:rsidRPr="00BE106A" w:rsidRDefault="00D5468E" w:rsidP="00A25402">
            <w:pPr>
              <w:rPr>
                <w:rFonts w:cs="Times New Roman"/>
                <w:noProof w:val="0"/>
                <w:sz w:val="18"/>
                <w:szCs w:val="18"/>
              </w:rPr>
            </w:pPr>
            <w:r w:rsidRPr="00BE106A">
              <w:rPr>
                <w:rFonts w:cs="Times New Roman"/>
                <w:noProof w:val="0"/>
                <w:sz w:val="18"/>
                <w:szCs w:val="18"/>
              </w:rPr>
              <w:t>Ripeness detection, contamination monitoring</w:t>
            </w:r>
          </w:p>
        </w:tc>
      </w:tr>
    </w:tbl>
    <w:p w14:paraId="71715EC9" w14:textId="77777777" w:rsidR="00D5468E" w:rsidRPr="00E77347" w:rsidRDefault="00D5468E" w:rsidP="00D5468E">
      <w:pPr>
        <w:jc w:val="both"/>
        <w:rPr>
          <w:rFonts w:asciiTheme="majorBidi" w:hAnsiTheme="majorBidi" w:cstheme="majorBidi"/>
          <w:sz w:val="22"/>
          <w:szCs w:val="22"/>
        </w:rPr>
      </w:pPr>
    </w:p>
    <w:p w14:paraId="254E4107" w14:textId="77777777" w:rsidR="00D5468E" w:rsidRPr="00AA4195" w:rsidRDefault="00D5468E" w:rsidP="00D5468E">
      <w:pPr>
        <w:jc w:val="both"/>
        <w:rPr>
          <w:rFonts w:asciiTheme="majorBidi" w:hAnsiTheme="majorBidi" w:cstheme="majorBidi"/>
          <w:i/>
          <w:iCs/>
        </w:rPr>
      </w:pPr>
      <w:r w:rsidRPr="00AA4195">
        <w:rPr>
          <w:rFonts w:asciiTheme="majorBidi" w:hAnsiTheme="majorBidi" w:cstheme="majorBidi"/>
          <w:i/>
          <w:iCs/>
        </w:rPr>
        <w:t>2.3 Artificial Intelligence and Machine Learning Models for Precision Agriculture</w:t>
      </w:r>
    </w:p>
    <w:p w14:paraId="462174B2" w14:textId="4BEF802C" w:rsidR="00D5468E" w:rsidRPr="00BE106A" w:rsidRDefault="00D5468E" w:rsidP="00D5468E">
      <w:pPr>
        <w:jc w:val="both"/>
        <w:rPr>
          <w:rFonts w:asciiTheme="majorBidi" w:hAnsiTheme="majorBidi" w:cstheme="majorBidi"/>
        </w:rPr>
      </w:pPr>
      <w:r w:rsidRPr="00BE106A">
        <w:rPr>
          <w:rFonts w:asciiTheme="majorBidi" w:hAnsiTheme="majorBidi" w:cstheme="majorBidi"/>
        </w:rPr>
        <w:t>AI and ML techniques enable the transformation of raw sensor data into actionable intelligence through pattern recognition, prediction, and optimization [</w:t>
      </w:r>
      <w:r w:rsidR="00751828">
        <w:rPr>
          <w:rFonts w:asciiTheme="majorBidi" w:hAnsiTheme="majorBidi" w:cstheme="majorBidi"/>
        </w:rPr>
        <w:t>21</w:t>
      </w:r>
      <w:r w:rsidRPr="00BE106A">
        <w:rPr>
          <w:rFonts w:asciiTheme="majorBidi" w:hAnsiTheme="majorBidi" w:cstheme="majorBidi"/>
        </w:rPr>
        <w:t>]. Supervised learning algorithms; including random forests, support vector machines, and deep neural networks; are widely applied for yield prediction, crop stress detection, and decision support [</w:t>
      </w:r>
      <w:r w:rsidR="00751828">
        <w:rPr>
          <w:rFonts w:asciiTheme="majorBidi" w:hAnsiTheme="majorBidi" w:cstheme="majorBidi"/>
        </w:rPr>
        <w:t>15</w:t>
      </w:r>
      <w:r w:rsidRPr="00BE106A">
        <w:rPr>
          <w:rFonts w:asciiTheme="majorBidi" w:hAnsiTheme="majorBidi" w:cstheme="majorBidi"/>
        </w:rPr>
        <w:t>]. Unsupervised and reinforcement learning methods are increasingly explored for adaptive resource management under uncertain climate conditions [</w:t>
      </w:r>
      <w:r w:rsidR="00751828">
        <w:rPr>
          <w:rFonts w:asciiTheme="majorBidi" w:hAnsiTheme="majorBidi" w:cstheme="majorBidi"/>
        </w:rPr>
        <w:t>6</w:t>
      </w:r>
      <w:r w:rsidRPr="00BE106A">
        <w:rPr>
          <w:rFonts w:asciiTheme="majorBidi" w:hAnsiTheme="majorBidi" w:cstheme="majorBidi"/>
        </w:rPr>
        <w:t>].</w:t>
      </w:r>
    </w:p>
    <w:p w14:paraId="0C86B1A0" w14:textId="35769661" w:rsidR="00D5468E" w:rsidRPr="00BE106A" w:rsidRDefault="00D5468E" w:rsidP="00D5468E">
      <w:pPr>
        <w:jc w:val="both"/>
        <w:rPr>
          <w:rFonts w:asciiTheme="majorBidi" w:hAnsiTheme="majorBidi" w:cstheme="majorBidi"/>
        </w:rPr>
      </w:pPr>
      <w:r w:rsidRPr="00BE106A">
        <w:rPr>
          <w:rFonts w:asciiTheme="majorBidi" w:hAnsiTheme="majorBidi" w:cstheme="majorBidi"/>
        </w:rPr>
        <w:t>Deep learning architectures, particularly convolutional neural networks (CNNs), dominate applications involving image-based sensing such as disease detection and phenotyping [26]. Empirical evidence from recent studies reports classification accuracies exceeding 90% for pest and disease identification using multispectral and hyperspectral imagery [27]. Long short-term memory (LSTM) networks are frequently employed for time-series forecasting of yield and weather-driven risks [</w:t>
      </w:r>
      <w:r w:rsidR="00751828">
        <w:rPr>
          <w:rFonts w:asciiTheme="majorBidi" w:hAnsiTheme="majorBidi" w:cstheme="majorBidi"/>
        </w:rPr>
        <w:t>7</w:t>
      </w:r>
      <w:r w:rsidRPr="00BE106A">
        <w:rPr>
          <w:rFonts w:asciiTheme="majorBidi" w:hAnsiTheme="majorBidi" w:cstheme="majorBidi"/>
        </w:rPr>
        <w:t>].</w:t>
      </w:r>
    </w:p>
    <w:p w14:paraId="2658FC40" w14:textId="1A493CC4" w:rsidR="00D5468E" w:rsidRPr="00BE106A" w:rsidRDefault="00D5468E" w:rsidP="00D5468E">
      <w:pPr>
        <w:jc w:val="both"/>
        <w:rPr>
          <w:rFonts w:asciiTheme="majorBidi" w:hAnsiTheme="majorBidi" w:cstheme="majorBidi"/>
        </w:rPr>
      </w:pPr>
      <w:r w:rsidRPr="00BE106A">
        <w:rPr>
          <w:rFonts w:asciiTheme="majorBidi" w:hAnsiTheme="majorBidi" w:cstheme="majorBidi"/>
        </w:rPr>
        <w:t>Despite strong performance metrics, the literature highlights limitations related to data dependency, generalizability, and explainability [</w:t>
      </w:r>
      <w:r w:rsidR="00751828">
        <w:rPr>
          <w:rFonts w:asciiTheme="majorBidi" w:hAnsiTheme="majorBidi" w:cstheme="majorBidi"/>
        </w:rPr>
        <w:t>8</w:t>
      </w:r>
      <w:r w:rsidRPr="00BE106A">
        <w:rPr>
          <w:rFonts w:asciiTheme="majorBidi" w:hAnsiTheme="majorBidi" w:cstheme="majorBidi"/>
        </w:rPr>
        <w:t>]. Many models are trained on localized datasets and perform poorly when transferred across regions or climatic regimes [30]. This underscores the need for hybrid models that integrate domain knowledge with data-driven learning [31].</w:t>
      </w:r>
    </w:p>
    <w:p w14:paraId="3ED1F4C6" w14:textId="77777777" w:rsidR="00D5468E" w:rsidRPr="00E77347" w:rsidRDefault="00D5468E" w:rsidP="00D5468E">
      <w:pPr>
        <w:jc w:val="both"/>
        <w:rPr>
          <w:rFonts w:asciiTheme="majorBidi" w:hAnsiTheme="majorBidi" w:cstheme="majorBidi"/>
          <w:sz w:val="22"/>
          <w:szCs w:val="22"/>
        </w:rPr>
      </w:pPr>
    </w:p>
    <w:p w14:paraId="17A81B63" w14:textId="77777777" w:rsidR="00D5468E" w:rsidRPr="00AA4195" w:rsidRDefault="00D5468E" w:rsidP="00D5468E">
      <w:pPr>
        <w:jc w:val="both"/>
        <w:rPr>
          <w:rFonts w:asciiTheme="majorBidi" w:hAnsiTheme="majorBidi" w:cstheme="majorBidi"/>
          <w:i/>
          <w:iCs/>
        </w:rPr>
      </w:pPr>
      <w:r w:rsidRPr="00AA4195">
        <w:rPr>
          <w:rFonts w:asciiTheme="majorBidi" w:hAnsiTheme="majorBidi" w:cstheme="majorBidi"/>
          <w:i/>
          <w:iCs/>
        </w:rPr>
        <w:t>2.4 AI-Enabled Climate Resilience Mechanisms</w:t>
      </w:r>
    </w:p>
    <w:p w14:paraId="272F5512" w14:textId="31836666" w:rsidR="00D5468E" w:rsidRPr="00BE106A" w:rsidRDefault="00D5468E" w:rsidP="00D5468E">
      <w:pPr>
        <w:jc w:val="both"/>
        <w:rPr>
          <w:rFonts w:asciiTheme="majorBidi" w:hAnsiTheme="majorBidi" w:cstheme="majorBidi"/>
        </w:rPr>
      </w:pPr>
      <w:r w:rsidRPr="00BE106A">
        <w:rPr>
          <w:rFonts w:asciiTheme="majorBidi" w:hAnsiTheme="majorBidi" w:cstheme="majorBidi"/>
        </w:rPr>
        <w:t>Climate resilience in agricultural systems is increasingly conceptualized as the capacity to anticipate, absorb, adapt to, and recover from climate disturbances [</w:t>
      </w:r>
      <w:r w:rsidR="00751828">
        <w:rPr>
          <w:rFonts w:asciiTheme="majorBidi" w:hAnsiTheme="majorBidi" w:cstheme="majorBidi"/>
        </w:rPr>
        <w:t>28</w:t>
      </w:r>
      <w:r w:rsidRPr="00BE106A">
        <w:rPr>
          <w:rFonts w:asciiTheme="majorBidi" w:hAnsiTheme="majorBidi" w:cstheme="majorBidi"/>
        </w:rPr>
        <w:t>]. AI contributes to each of these dimensions by enabling early warning systems, dynamic adaptation strategies, and post-shock optimization [</w:t>
      </w:r>
      <w:r w:rsidR="00751828">
        <w:rPr>
          <w:rFonts w:asciiTheme="majorBidi" w:hAnsiTheme="majorBidi" w:cstheme="majorBidi"/>
        </w:rPr>
        <w:t>11</w:t>
      </w:r>
      <w:r w:rsidRPr="00BE106A">
        <w:rPr>
          <w:rFonts w:asciiTheme="majorBidi" w:hAnsiTheme="majorBidi" w:cstheme="majorBidi"/>
        </w:rPr>
        <w:t>].</w:t>
      </w:r>
    </w:p>
    <w:p w14:paraId="5DDF5E8A" w14:textId="324E1E10" w:rsidR="00D5468E" w:rsidRPr="00BE106A" w:rsidRDefault="00D5468E" w:rsidP="00D5468E">
      <w:pPr>
        <w:jc w:val="both"/>
        <w:rPr>
          <w:rFonts w:asciiTheme="majorBidi" w:hAnsiTheme="majorBidi" w:cstheme="majorBidi"/>
        </w:rPr>
      </w:pPr>
      <w:r w:rsidRPr="00BE106A">
        <w:rPr>
          <w:rFonts w:asciiTheme="majorBidi" w:hAnsiTheme="majorBidi" w:cstheme="majorBidi"/>
        </w:rPr>
        <w:t>Predictive analytics based on multi-source data; including weather forecasts, soil sensors, and remote sensing; support anticipatory decision-making under climate uncertainty [</w:t>
      </w:r>
      <w:r w:rsidR="00751828">
        <w:rPr>
          <w:rFonts w:asciiTheme="majorBidi" w:hAnsiTheme="majorBidi" w:cstheme="majorBidi"/>
        </w:rPr>
        <w:t>7</w:t>
      </w:r>
      <w:r w:rsidRPr="00BE106A">
        <w:rPr>
          <w:rFonts w:asciiTheme="majorBidi" w:hAnsiTheme="majorBidi" w:cstheme="majorBidi"/>
        </w:rPr>
        <w:t>]. For instance, AI-driven drought forecasting models enable pre-emptive irrigation scheduling and crop selection adjustments [</w:t>
      </w:r>
      <w:r w:rsidR="00751828">
        <w:rPr>
          <w:rFonts w:asciiTheme="majorBidi" w:hAnsiTheme="majorBidi" w:cstheme="majorBidi"/>
        </w:rPr>
        <w:t>4</w:t>
      </w:r>
      <w:r w:rsidRPr="00BE106A">
        <w:rPr>
          <w:rFonts w:asciiTheme="majorBidi" w:hAnsiTheme="majorBidi" w:cstheme="majorBidi"/>
        </w:rPr>
        <w:t>]. Scenario-based simulations further assist stakeholders in evaluating resilience strategies under alternative climate pathways [</w:t>
      </w:r>
      <w:r w:rsidR="00751828">
        <w:rPr>
          <w:rFonts w:asciiTheme="majorBidi" w:hAnsiTheme="majorBidi" w:cstheme="majorBidi"/>
        </w:rPr>
        <w:t>14</w:t>
      </w:r>
      <w:r w:rsidRPr="00BE106A">
        <w:rPr>
          <w:rFonts w:asciiTheme="majorBidi" w:hAnsiTheme="majorBidi" w:cstheme="majorBidi"/>
        </w:rPr>
        <w:t>].</w:t>
      </w:r>
    </w:p>
    <w:p w14:paraId="5D3ACD84" w14:textId="2EB48262" w:rsidR="00D5468E" w:rsidRPr="00BE106A" w:rsidRDefault="00D5468E" w:rsidP="00D5468E">
      <w:pPr>
        <w:jc w:val="both"/>
        <w:rPr>
          <w:rFonts w:asciiTheme="majorBidi" w:hAnsiTheme="majorBidi" w:cstheme="majorBidi"/>
        </w:rPr>
      </w:pPr>
      <w:r w:rsidRPr="00BE106A">
        <w:rPr>
          <w:rFonts w:asciiTheme="majorBidi" w:hAnsiTheme="majorBidi" w:cstheme="majorBidi"/>
        </w:rPr>
        <w:t>However, scholars note that resilience assessments often lack standardized metrics, making cross-study comparisons difficult [</w:t>
      </w:r>
      <w:r w:rsidR="00751828">
        <w:rPr>
          <w:rFonts w:asciiTheme="majorBidi" w:hAnsiTheme="majorBidi" w:cstheme="majorBidi"/>
        </w:rPr>
        <w:t>24</w:t>
      </w:r>
      <w:r w:rsidRPr="00BE106A">
        <w:rPr>
          <w:rFonts w:asciiTheme="majorBidi" w:hAnsiTheme="majorBidi" w:cstheme="majorBidi"/>
        </w:rPr>
        <w:t>]. The absence of integrated resilience indicators that link biophysical performance with sustainability outcomes represents a critical methodological gap [</w:t>
      </w:r>
      <w:r w:rsidR="00751828">
        <w:rPr>
          <w:rFonts w:asciiTheme="majorBidi" w:hAnsiTheme="majorBidi" w:cstheme="majorBidi"/>
        </w:rPr>
        <w:t>25</w:t>
      </w:r>
      <w:r w:rsidRPr="00BE106A">
        <w:rPr>
          <w:rFonts w:asciiTheme="majorBidi" w:hAnsiTheme="majorBidi" w:cstheme="majorBidi"/>
        </w:rPr>
        <w:t>].</w:t>
      </w:r>
    </w:p>
    <w:p w14:paraId="33EB24AF" w14:textId="77777777" w:rsidR="00D5468E" w:rsidRPr="00E77347" w:rsidRDefault="00D5468E" w:rsidP="00D5468E">
      <w:pPr>
        <w:jc w:val="both"/>
        <w:rPr>
          <w:rFonts w:asciiTheme="majorBidi" w:hAnsiTheme="majorBidi" w:cstheme="majorBidi"/>
          <w:sz w:val="22"/>
          <w:szCs w:val="22"/>
        </w:rPr>
      </w:pPr>
    </w:p>
    <w:p w14:paraId="7CF80ED3" w14:textId="4DBA7EAB" w:rsidR="00D5468E" w:rsidRPr="00BE106A" w:rsidRDefault="00BE106A" w:rsidP="00BE106A">
      <w:pPr>
        <w:jc w:val="both"/>
        <w:rPr>
          <w:rFonts w:asciiTheme="majorBidi" w:hAnsiTheme="majorBidi" w:cstheme="majorBidi"/>
          <w:b/>
          <w:bCs/>
          <w:sz w:val="18"/>
          <w:szCs w:val="18"/>
        </w:rPr>
      </w:pPr>
      <w:r w:rsidRPr="00BE106A">
        <w:rPr>
          <w:rFonts w:asciiTheme="majorBidi" w:hAnsiTheme="majorBidi" w:cstheme="majorBidi"/>
          <w:b/>
          <w:bCs/>
          <w:sz w:val="18"/>
          <w:szCs w:val="18"/>
        </w:rPr>
        <w:drawing>
          <wp:anchor distT="0" distB="0" distL="114300" distR="114300" simplePos="0" relativeHeight="251659264" behindDoc="0" locked="0" layoutInCell="1" allowOverlap="1" wp14:anchorId="118BDEA1" wp14:editId="3960AFF0">
            <wp:simplePos x="0" y="0"/>
            <wp:positionH relativeFrom="column">
              <wp:posOffset>165735</wp:posOffset>
            </wp:positionH>
            <wp:positionV relativeFrom="page">
              <wp:posOffset>5467350</wp:posOffset>
            </wp:positionV>
            <wp:extent cx="5476875" cy="3127375"/>
            <wp:effectExtent l="0" t="0" r="9525"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BEBA8EAE-BF5A-486C-A8C5-ECC9F3942E4B}">
                          <a14:imgProps xmlns:a14="http://schemas.microsoft.com/office/drawing/2010/main">
                            <a14:imgLayer r:embed="rId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476875" cy="3127375"/>
                    </a:xfrm>
                    <a:prstGeom prst="rect">
                      <a:avLst/>
                    </a:prstGeom>
                  </pic:spPr>
                </pic:pic>
              </a:graphicData>
            </a:graphic>
            <wp14:sizeRelH relativeFrom="margin">
              <wp14:pctWidth>0</wp14:pctWidth>
            </wp14:sizeRelH>
            <wp14:sizeRelV relativeFrom="margin">
              <wp14:pctHeight>0</wp14:pctHeight>
            </wp14:sizeRelV>
          </wp:anchor>
        </w:drawing>
      </w:r>
      <w:r w:rsidR="00D5468E" w:rsidRPr="00BE106A">
        <w:rPr>
          <w:rFonts w:asciiTheme="majorBidi" w:hAnsiTheme="majorBidi" w:cstheme="majorBidi"/>
          <w:b/>
          <w:bCs/>
          <w:sz w:val="18"/>
          <w:szCs w:val="18"/>
        </w:rPr>
        <w:t xml:space="preserve">Figure </w:t>
      </w:r>
      <w:r w:rsidRPr="00BE106A">
        <w:rPr>
          <w:rFonts w:asciiTheme="majorBidi" w:hAnsiTheme="majorBidi" w:cstheme="majorBidi"/>
          <w:b/>
          <w:bCs/>
          <w:sz w:val="18"/>
          <w:szCs w:val="18"/>
        </w:rPr>
        <w:t xml:space="preserve">1: </w:t>
      </w:r>
      <w:r w:rsidR="00D5468E" w:rsidRPr="00BE106A">
        <w:rPr>
          <w:rFonts w:asciiTheme="majorBidi" w:hAnsiTheme="majorBidi" w:cstheme="majorBidi"/>
          <w:b/>
          <w:bCs/>
          <w:sz w:val="18"/>
          <w:szCs w:val="18"/>
        </w:rPr>
        <w:t>Conceptual framework linking AI, smart sensors, and climate resilience mechanisms in food systems.</w:t>
      </w:r>
    </w:p>
    <w:p w14:paraId="535DB454" w14:textId="3EDE37E6" w:rsidR="00D5468E" w:rsidRPr="00E77347" w:rsidRDefault="00D5468E" w:rsidP="00D5468E">
      <w:pPr>
        <w:jc w:val="both"/>
        <w:rPr>
          <w:rFonts w:asciiTheme="majorBidi" w:hAnsiTheme="majorBidi" w:cstheme="majorBidi"/>
          <w:sz w:val="22"/>
          <w:szCs w:val="22"/>
        </w:rPr>
      </w:pPr>
    </w:p>
    <w:p w14:paraId="4CDBE823" w14:textId="66735A9B" w:rsidR="00D5468E" w:rsidRPr="00E77347" w:rsidRDefault="00D5468E" w:rsidP="00D5468E">
      <w:pPr>
        <w:jc w:val="both"/>
        <w:rPr>
          <w:rFonts w:asciiTheme="majorBidi" w:hAnsiTheme="majorBidi" w:cstheme="majorBidi"/>
          <w:sz w:val="22"/>
          <w:szCs w:val="22"/>
        </w:rPr>
      </w:pPr>
    </w:p>
    <w:p w14:paraId="2B655697" w14:textId="083049C5" w:rsidR="00D5468E" w:rsidRPr="00AA4195" w:rsidRDefault="00D5468E" w:rsidP="00D5468E">
      <w:pPr>
        <w:jc w:val="both"/>
        <w:rPr>
          <w:rFonts w:asciiTheme="majorBidi" w:hAnsiTheme="majorBidi" w:cstheme="majorBidi"/>
          <w:i/>
          <w:iCs/>
        </w:rPr>
      </w:pPr>
      <w:r w:rsidRPr="00AA4195">
        <w:rPr>
          <w:rFonts w:asciiTheme="majorBidi" w:hAnsiTheme="majorBidi" w:cstheme="majorBidi"/>
          <w:i/>
          <w:iCs/>
        </w:rPr>
        <w:t>2.5 AI and Smart Sensors for Food Safety and Traceability</w:t>
      </w:r>
    </w:p>
    <w:p w14:paraId="69B7AA75" w14:textId="15BE064D" w:rsidR="00D5468E" w:rsidRPr="00BE106A" w:rsidRDefault="00D5468E" w:rsidP="00D5468E">
      <w:pPr>
        <w:jc w:val="both"/>
        <w:rPr>
          <w:rFonts w:asciiTheme="majorBidi" w:hAnsiTheme="majorBidi" w:cstheme="majorBidi"/>
        </w:rPr>
      </w:pPr>
      <w:r w:rsidRPr="00BE106A">
        <w:rPr>
          <w:rFonts w:asciiTheme="majorBidi" w:hAnsiTheme="majorBidi" w:cstheme="majorBidi"/>
        </w:rPr>
        <w:t>Beyond primary production, AI and smart sensors play a crucial role in enhancing food safety and supply chain transparency [</w:t>
      </w:r>
      <w:r w:rsidR="00751828">
        <w:rPr>
          <w:rFonts w:asciiTheme="majorBidi" w:hAnsiTheme="majorBidi" w:cstheme="majorBidi"/>
        </w:rPr>
        <w:t>17</w:t>
      </w:r>
      <w:r w:rsidRPr="00BE106A">
        <w:rPr>
          <w:rFonts w:asciiTheme="majorBidi" w:hAnsiTheme="majorBidi" w:cstheme="majorBidi"/>
        </w:rPr>
        <w:t>]. IoT-enabled monitoring of temperature, humidity, and handling conditions across storage and transportation stages reduces spoilage and contamination risks [</w:t>
      </w:r>
      <w:r w:rsidR="00751828">
        <w:rPr>
          <w:rFonts w:asciiTheme="majorBidi" w:hAnsiTheme="majorBidi" w:cstheme="majorBidi"/>
        </w:rPr>
        <w:t>30</w:t>
      </w:r>
      <w:r w:rsidRPr="00BE106A">
        <w:rPr>
          <w:rFonts w:asciiTheme="majorBidi" w:hAnsiTheme="majorBidi" w:cstheme="majorBidi"/>
        </w:rPr>
        <w:t>]. When combined with AI analytics, these systems enable real-time anomaly detection and corrective action [</w:t>
      </w:r>
      <w:r w:rsidR="00751828">
        <w:rPr>
          <w:rFonts w:asciiTheme="majorBidi" w:hAnsiTheme="majorBidi" w:cstheme="majorBidi"/>
        </w:rPr>
        <w:t>26</w:t>
      </w:r>
      <w:r w:rsidRPr="00BE106A">
        <w:rPr>
          <w:rFonts w:asciiTheme="majorBidi" w:hAnsiTheme="majorBidi" w:cstheme="majorBidi"/>
        </w:rPr>
        <w:t>].</w:t>
      </w:r>
    </w:p>
    <w:p w14:paraId="3527BC8A" w14:textId="77777777" w:rsidR="00B24FCB" w:rsidRDefault="00B24FCB" w:rsidP="00D5468E">
      <w:pPr>
        <w:jc w:val="both"/>
        <w:rPr>
          <w:rFonts w:asciiTheme="majorBidi" w:hAnsiTheme="majorBidi" w:cstheme="majorBidi"/>
        </w:rPr>
      </w:pPr>
    </w:p>
    <w:p w14:paraId="73FB134D" w14:textId="77777777" w:rsidR="00AA4195" w:rsidRDefault="00AA4195" w:rsidP="00D5468E">
      <w:pPr>
        <w:jc w:val="both"/>
        <w:rPr>
          <w:rFonts w:asciiTheme="majorBidi" w:hAnsiTheme="majorBidi" w:cstheme="majorBidi"/>
          <w:rtl/>
        </w:rPr>
      </w:pPr>
    </w:p>
    <w:p w14:paraId="46132EE8" w14:textId="43DC42CA" w:rsidR="00D5468E" w:rsidRPr="00BE106A" w:rsidRDefault="00D5468E" w:rsidP="00D5468E">
      <w:pPr>
        <w:jc w:val="both"/>
        <w:rPr>
          <w:rFonts w:asciiTheme="majorBidi" w:hAnsiTheme="majorBidi" w:cstheme="majorBidi"/>
        </w:rPr>
      </w:pPr>
      <w:r w:rsidRPr="00BE106A">
        <w:rPr>
          <w:rFonts w:asciiTheme="majorBidi" w:hAnsiTheme="majorBidi" w:cstheme="majorBidi"/>
        </w:rPr>
        <w:t>Recent literature emphasizes the integration of AI with blockchain-based traceability systems, enhancing data integrity and accountability across supply chains [</w:t>
      </w:r>
      <w:r w:rsidR="00751828">
        <w:rPr>
          <w:rFonts w:asciiTheme="majorBidi" w:hAnsiTheme="majorBidi" w:cstheme="majorBidi"/>
        </w:rPr>
        <w:t>19</w:t>
      </w:r>
      <w:r w:rsidRPr="00BE106A">
        <w:rPr>
          <w:rFonts w:asciiTheme="majorBidi" w:hAnsiTheme="majorBidi" w:cstheme="majorBidi"/>
        </w:rPr>
        <w:t>]. Machine learning models applied to sensor and image data facilitate non-destructive detection of pathogens, chemical residues, and adulteration [</w:t>
      </w:r>
      <w:r w:rsidR="00751828">
        <w:rPr>
          <w:rFonts w:asciiTheme="majorBidi" w:hAnsiTheme="majorBidi" w:cstheme="majorBidi"/>
        </w:rPr>
        <w:t>11</w:t>
      </w:r>
      <w:r w:rsidRPr="00BE106A">
        <w:rPr>
          <w:rFonts w:asciiTheme="majorBidi" w:hAnsiTheme="majorBidi" w:cstheme="majorBidi"/>
        </w:rPr>
        <w:t>]. Reported detection accuracies frequently exceed 95% under controlled conditions [</w:t>
      </w:r>
      <w:r w:rsidR="00751828">
        <w:rPr>
          <w:rFonts w:asciiTheme="majorBidi" w:hAnsiTheme="majorBidi" w:cstheme="majorBidi"/>
        </w:rPr>
        <w:t>10</w:t>
      </w:r>
      <w:r w:rsidRPr="00BE106A">
        <w:rPr>
          <w:rFonts w:asciiTheme="majorBidi" w:hAnsiTheme="majorBidi" w:cstheme="majorBidi"/>
        </w:rPr>
        <w:t>].</w:t>
      </w:r>
    </w:p>
    <w:p w14:paraId="68FB6367" w14:textId="3EFCADC1" w:rsidR="00D5468E" w:rsidRPr="00BE106A" w:rsidRDefault="00D5468E" w:rsidP="00D5468E">
      <w:pPr>
        <w:jc w:val="both"/>
        <w:rPr>
          <w:rFonts w:asciiTheme="majorBidi" w:hAnsiTheme="majorBidi" w:cstheme="majorBidi"/>
        </w:rPr>
      </w:pPr>
      <w:r w:rsidRPr="00BE106A">
        <w:rPr>
          <w:rFonts w:asciiTheme="majorBidi" w:hAnsiTheme="majorBidi" w:cstheme="majorBidi"/>
        </w:rPr>
        <w:t>Despite technological advances, challenges remain regarding data ownership, regulatory harmonization, and cross-border interoperability [</w:t>
      </w:r>
      <w:r w:rsidR="00751828">
        <w:rPr>
          <w:rFonts w:asciiTheme="majorBidi" w:hAnsiTheme="majorBidi" w:cstheme="majorBidi"/>
        </w:rPr>
        <w:t>30</w:t>
      </w:r>
      <w:r w:rsidRPr="00BE106A">
        <w:rPr>
          <w:rFonts w:asciiTheme="majorBidi" w:hAnsiTheme="majorBidi" w:cstheme="majorBidi"/>
        </w:rPr>
        <w:t>]. The literature suggests that food safety applications require tighter integration between technical systems and governance frameworks [</w:t>
      </w:r>
      <w:r w:rsidR="00751828">
        <w:rPr>
          <w:rFonts w:asciiTheme="majorBidi" w:hAnsiTheme="majorBidi" w:cstheme="majorBidi"/>
        </w:rPr>
        <w:t>5</w:t>
      </w:r>
      <w:r w:rsidRPr="00BE106A">
        <w:rPr>
          <w:rFonts w:asciiTheme="majorBidi" w:hAnsiTheme="majorBidi" w:cstheme="majorBidi"/>
        </w:rPr>
        <w:t>].</w:t>
      </w:r>
    </w:p>
    <w:p w14:paraId="0F21608E" w14:textId="77777777" w:rsidR="00D5468E" w:rsidRPr="00E77347" w:rsidRDefault="00D5468E" w:rsidP="00D5468E">
      <w:pPr>
        <w:jc w:val="both"/>
        <w:rPr>
          <w:rFonts w:asciiTheme="majorBidi" w:hAnsiTheme="majorBidi" w:cstheme="majorBidi"/>
          <w:sz w:val="22"/>
          <w:szCs w:val="22"/>
        </w:rPr>
      </w:pPr>
    </w:p>
    <w:p w14:paraId="272B0192" w14:textId="437388C2" w:rsidR="00D5468E" w:rsidRPr="00BE106A" w:rsidRDefault="00D5468E" w:rsidP="00BE106A">
      <w:pPr>
        <w:jc w:val="both"/>
        <w:rPr>
          <w:rFonts w:asciiTheme="majorBidi" w:hAnsiTheme="majorBidi" w:cstheme="majorBidi"/>
          <w:b/>
          <w:bCs/>
          <w:sz w:val="18"/>
          <w:szCs w:val="18"/>
        </w:rPr>
      </w:pPr>
      <w:r w:rsidRPr="00BE106A">
        <w:rPr>
          <w:rFonts w:asciiTheme="majorBidi" w:hAnsiTheme="majorBidi" w:cstheme="majorBidi"/>
          <w:b/>
          <w:bCs/>
          <w:sz w:val="18"/>
          <w:szCs w:val="18"/>
        </w:rPr>
        <w:t>Table 2</w:t>
      </w:r>
      <w:r w:rsidR="00BE106A" w:rsidRPr="00BE106A">
        <w:rPr>
          <w:rFonts w:asciiTheme="majorBidi" w:hAnsiTheme="majorBidi" w:cstheme="majorBidi"/>
          <w:b/>
          <w:bCs/>
          <w:sz w:val="18"/>
          <w:szCs w:val="18"/>
        </w:rPr>
        <w:t xml:space="preserve">: </w:t>
      </w:r>
      <w:r w:rsidRPr="00BE106A">
        <w:rPr>
          <w:rFonts w:asciiTheme="majorBidi" w:hAnsiTheme="majorBidi" w:cstheme="majorBidi"/>
          <w:b/>
          <w:bCs/>
          <w:sz w:val="18"/>
          <w:szCs w:val="18"/>
        </w:rPr>
        <w:t>AI techniques and sensor modalities applied in food safety monitoring and traceability.</w:t>
      </w:r>
    </w:p>
    <w:tbl>
      <w:tblPr>
        <w:tblStyle w:val="TableGrid"/>
        <w:tblW w:w="0" w:type="auto"/>
        <w:tblLook w:val="04A0" w:firstRow="1" w:lastRow="0" w:firstColumn="1" w:lastColumn="0" w:noHBand="0" w:noVBand="1"/>
      </w:tblPr>
      <w:tblGrid>
        <w:gridCol w:w="2547"/>
        <w:gridCol w:w="2669"/>
        <w:gridCol w:w="4129"/>
      </w:tblGrid>
      <w:tr w:rsidR="00D5468E" w:rsidRPr="00BE106A" w14:paraId="5C817143" w14:textId="77777777" w:rsidTr="00B24FCB">
        <w:tc>
          <w:tcPr>
            <w:tcW w:w="2547" w:type="dxa"/>
            <w:hideMark/>
          </w:tcPr>
          <w:p w14:paraId="37E81448" w14:textId="77777777" w:rsidR="00D5468E" w:rsidRPr="00BE106A" w:rsidRDefault="00D5468E" w:rsidP="00A25402">
            <w:pPr>
              <w:jc w:val="center"/>
              <w:rPr>
                <w:rFonts w:cs="Times New Roman"/>
                <w:b/>
                <w:bCs/>
                <w:noProof w:val="0"/>
                <w:sz w:val="18"/>
                <w:szCs w:val="18"/>
              </w:rPr>
            </w:pPr>
            <w:r w:rsidRPr="00BE106A">
              <w:rPr>
                <w:rFonts w:cs="Times New Roman"/>
                <w:b/>
                <w:bCs/>
                <w:noProof w:val="0"/>
                <w:sz w:val="18"/>
                <w:szCs w:val="18"/>
              </w:rPr>
              <w:t>AI Technique</w:t>
            </w:r>
          </w:p>
        </w:tc>
        <w:tc>
          <w:tcPr>
            <w:tcW w:w="2669" w:type="dxa"/>
            <w:hideMark/>
          </w:tcPr>
          <w:p w14:paraId="5D5EEA9E" w14:textId="77777777" w:rsidR="00D5468E" w:rsidRPr="00BE106A" w:rsidRDefault="00D5468E" w:rsidP="00A25402">
            <w:pPr>
              <w:jc w:val="center"/>
              <w:rPr>
                <w:rFonts w:cs="Times New Roman"/>
                <w:b/>
                <w:bCs/>
                <w:noProof w:val="0"/>
                <w:sz w:val="18"/>
                <w:szCs w:val="18"/>
              </w:rPr>
            </w:pPr>
            <w:r w:rsidRPr="00BE106A">
              <w:rPr>
                <w:rFonts w:cs="Times New Roman"/>
                <w:b/>
                <w:bCs/>
                <w:noProof w:val="0"/>
                <w:sz w:val="18"/>
                <w:szCs w:val="18"/>
              </w:rPr>
              <w:t>Sensor Modality</w:t>
            </w:r>
          </w:p>
        </w:tc>
        <w:tc>
          <w:tcPr>
            <w:tcW w:w="0" w:type="auto"/>
            <w:hideMark/>
          </w:tcPr>
          <w:p w14:paraId="1D5B8EC9" w14:textId="77777777" w:rsidR="00D5468E" w:rsidRPr="00BE106A" w:rsidRDefault="00D5468E" w:rsidP="00A25402">
            <w:pPr>
              <w:jc w:val="center"/>
              <w:rPr>
                <w:rFonts w:cs="Times New Roman"/>
                <w:b/>
                <w:bCs/>
                <w:noProof w:val="0"/>
                <w:sz w:val="18"/>
                <w:szCs w:val="18"/>
              </w:rPr>
            </w:pPr>
            <w:r w:rsidRPr="00BE106A">
              <w:rPr>
                <w:rFonts w:cs="Times New Roman"/>
                <w:b/>
                <w:bCs/>
                <w:noProof w:val="0"/>
                <w:sz w:val="18"/>
                <w:szCs w:val="18"/>
              </w:rPr>
              <w:t>Applications in Food Safety and Traceability</w:t>
            </w:r>
          </w:p>
        </w:tc>
      </w:tr>
      <w:tr w:rsidR="00D5468E" w:rsidRPr="00BE106A" w14:paraId="75EDE54B" w14:textId="77777777" w:rsidTr="00B24FCB">
        <w:tc>
          <w:tcPr>
            <w:tcW w:w="2547" w:type="dxa"/>
            <w:hideMark/>
          </w:tcPr>
          <w:p w14:paraId="6CE2F2AD" w14:textId="77777777" w:rsidR="00D5468E" w:rsidRPr="00BE106A" w:rsidRDefault="00D5468E" w:rsidP="00A25402">
            <w:pPr>
              <w:rPr>
                <w:rFonts w:cs="Times New Roman"/>
                <w:noProof w:val="0"/>
                <w:sz w:val="18"/>
                <w:szCs w:val="18"/>
              </w:rPr>
            </w:pPr>
            <w:r w:rsidRPr="00BE106A">
              <w:rPr>
                <w:rFonts w:cs="Times New Roman"/>
                <w:noProof w:val="0"/>
                <w:sz w:val="18"/>
                <w:szCs w:val="18"/>
              </w:rPr>
              <w:t>Convolutional Neural Networks (CNN)</w:t>
            </w:r>
          </w:p>
        </w:tc>
        <w:tc>
          <w:tcPr>
            <w:tcW w:w="2669" w:type="dxa"/>
            <w:hideMark/>
          </w:tcPr>
          <w:p w14:paraId="5984C0CC" w14:textId="77777777" w:rsidR="00D5468E" w:rsidRPr="00BE106A" w:rsidRDefault="00D5468E" w:rsidP="00A25402">
            <w:pPr>
              <w:rPr>
                <w:rFonts w:cs="Times New Roman"/>
                <w:noProof w:val="0"/>
                <w:sz w:val="18"/>
                <w:szCs w:val="18"/>
              </w:rPr>
            </w:pPr>
            <w:r w:rsidRPr="00BE106A">
              <w:rPr>
                <w:rFonts w:cs="Times New Roman"/>
                <w:noProof w:val="0"/>
                <w:sz w:val="18"/>
                <w:szCs w:val="18"/>
              </w:rPr>
              <w:t>Hyperspectral/Multispectral Imaging</w:t>
            </w:r>
          </w:p>
        </w:tc>
        <w:tc>
          <w:tcPr>
            <w:tcW w:w="0" w:type="auto"/>
            <w:hideMark/>
          </w:tcPr>
          <w:p w14:paraId="54E525F4" w14:textId="77777777" w:rsidR="00D5468E" w:rsidRPr="00BE106A" w:rsidRDefault="00D5468E" w:rsidP="00A25402">
            <w:pPr>
              <w:rPr>
                <w:rFonts w:cs="Times New Roman"/>
                <w:noProof w:val="0"/>
                <w:sz w:val="18"/>
                <w:szCs w:val="18"/>
              </w:rPr>
            </w:pPr>
            <w:r w:rsidRPr="00BE106A">
              <w:rPr>
                <w:rFonts w:cs="Times New Roman"/>
                <w:noProof w:val="0"/>
                <w:sz w:val="18"/>
                <w:szCs w:val="18"/>
              </w:rPr>
              <w:t>Pathogen detection, adulteration identification, non-destructive quality assessment</w:t>
            </w:r>
          </w:p>
        </w:tc>
      </w:tr>
      <w:tr w:rsidR="00D5468E" w:rsidRPr="00BE106A" w14:paraId="22479A59" w14:textId="77777777" w:rsidTr="00B24FCB">
        <w:tc>
          <w:tcPr>
            <w:tcW w:w="2547" w:type="dxa"/>
            <w:hideMark/>
          </w:tcPr>
          <w:p w14:paraId="42825E6A" w14:textId="77777777" w:rsidR="00D5468E" w:rsidRPr="00BE106A" w:rsidRDefault="00D5468E" w:rsidP="00A25402">
            <w:pPr>
              <w:rPr>
                <w:rFonts w:cs="Times New Roman"/>
                <w:noProof w:val="0"/>
                <w:sz w:val="18"/>
                <w:szCs w:val="18"/>
              </w:rPr>
            </w:pPr>
            <w:r w:rsidRPr="00BE106A">
              <w:rPr>
                <w:rFonts w:cs="Times New Roman"/>
                <w:noProof w:val="0"/>
                <w:sz w:val="18"/>
                <w:szCs w:val="18"/>
              </w:rPr>
              <w:t>Machine Learning (e.g., SVM, Random Forest)</w:t>
            </w:r>
          </w:p>
        </w:tc>
        <w:tc>
          <w:tcPr>
            <w:tcW w:w="2669" w:type="dxa"/>
            <w:hideMark/>
          </w:tcPr>
          <w:p w14:paraId="1E6CDF34" w14:textId="77777777" w:rsidR="00D5468E" w:rsidRPr="00BE106A" w:rsidRDefault="00D5468E" w:rsidP="00A25402">
            <w:pPr>
              <w:rPr>
                <w:rFonts w:cs="Times New Roman"/>
                <w:noProof w:val="0"/>
                <w:sz w:val="18"/>
                <w:szCs w:val="18"/>
              </w:rPr>
            </w:pPr>
            <w:r w:rsidRPr="00BE106A">
              <w:rPr>
                <w:rFonts w:cs="Times New Roman"/>
                <w:noProof w:val="0"/>
                <w:sz w:val="18"/>
                <w:szCs w:val="18"/>
              </w:rPr>
              <w:t>Temperature, Humidity, Gas Sensors</w:t>
            </w:r>
          </w:p>
        </w:tc>
        <w:tc>
          <w:tcPr>
            <w:tcW w:w="0" w:type="auto"/>
            <w:hideMark/>
          </w:tcPr>
          <w:p w14:paraId="51BB876F" w14:textId="77777777" w:rsidR="00D5468E" w:rsidRPr="00BE106A" w:rsidRDefault="00D5468E" w:rsidP="00A25402">
            <w:pPr>
              <w:rPr>
                <w:rFonts w:cs="Times New Roman"/>
                <w:noProof w:val="0"/>
                <w:sz w:val="18"/>
                <w:szCs w:val="18"/>
              </w:rPr>
            </w:pPr>
            <w:r w:rsidRPr="00BE106A">
              <w:rPr>
                <w:rFonts w:cs="Times New Roman"/>
                <w:noProof w:val="0"/>
                <w:sz w:val="18"/>
                <w:szCs w:val="18"/>
              </w:rPr>
              <w:t>Anomaly detection in storage/transport, spoilage prediction</w:t>
            </w:r>
          </w:p>
        </w:tc>
      </w:tr>
      <w:tr w:rsidR="00D5468E" w:rsidRPr="00BE106A" w14:paraId="6F32EC72" w14:textId="77777777" w:rsidTr="00B24FCB">
        <w:tc>
          <w:tcPr>
            <w:tcW w:w="2547" w:type="dxa"/>
            <w:hideMark/>
          </w:tcPr>
          <w:p w14:paraId="2FF906D3" w14:textId="77777777" w:rsidR="00D5468E" w:rsidRPr="00BE106A" w:rsidRDefault="00D5468E" w:rsidP="00A25402">
            <w:pPr>
              <w:rPr>
                <w:rFonts w:cs="Times New Roman"/>
                <w:noProof w:val="0"/>
                <w:sz w:val="18"/>
                <w:szCs w:val="18"/>
              </w:rPr>
            </w:pPr>
            <w:r w:rsidRPr="00BE106A">
              <w:rPr>
                <w:rFonts w:cs="Times New Roman"/>
                <w:noProof w:val="0"/>
                <w:sz w:val="18"/>
                <w:szCs w:val="18"/>
              </w:rPr>
              <w:t>Blockchain-Integrated AI</w:t>
            </w:r>
          </w:p>
        </w:tc>
        <w:tc>
          <w:tcPr>
            <w:tcW w:w="2669" w:type="dxa"/>
            <w:hideMark/>
          </w:tcPr>
          <w:p w14:paraId="7F8792DB" w14:textId="77777777" w:rsidR="00D5468E" w:rsidRPr="00BE106A" w:rsidRDefault="00D5468E" w:rsidP="00A25402">
            <w:pPr>
              <w:rPr>
                <w:rFonts w:cs="Times New Roman"/>
                <w:noProof w:val="0"/>
                <w:sz w:val="18"/>
                <w:szCs w:val="18"/>
              </w:rPr>
            </w:pPr>
            <w:r w:rsidRPr="00BE106A">
              <w:rPr>
                <w:rFonts w:cs="Times New Roman"/>
                <w:noProof w:val="0"/>
                <w:sz w:val="18"/>
                <w:szCs w:val="18"/>
              </w:rPr>
              <w:t>IoT Sensors (RFID, Environmental)</w:t>
            </w:r>
          </w:p>
        </w:tc>
        <w:tc>
          <w:tcPr>
            <w:tcW w:w="0" w:type="auto"/>
            <w:hideMark/>
          </w:tcPr>
          <w:p w14:paraId="0F19E355" w14:textId="77777777" w:rsidR="00D5468E" w:rsidRPr="00BE106A" w:rsidRDefault="00D5468E" w:rsidP="00A25402">
            <w:pPr>
              <w:rPr>
                <w:rFonts w:cs="Times New Roman"/>
                <w:noProof w:val="0"/>
                <w:sz w:val="18"/>
                <w:szCs w:val="18"/>
              </w:rPr>
            </w:pPr>
            <w:r w:rsidRPr="00BE106A">
              <w:rPr>
                <w:rFonts w:cs="Times New Roman"/>
                <w:noProof w:val="0"/>
                <w:sz w:val="18"/>
                <w:szCs w:val="18"/>
              </w:rPr>
              <w:t>Supply chain traceability, data integrity, recall precision</w:t>
            </w:r>
          </w:p>
        </w:tc>
      </w:tr>
      <w:tr w:rsidR="00D5468E" w:rsidRPr="00BE106A" w14:paraId="241ED5DE" w14:textId="77777777" w:rsidTr="00B24FCB">
        <w:tc>
          <w:tcPr>
            <w:tcW w:w="2547" w:type="dxa"/>
            <w:hideMark/>
          </w:tcPr>
          <w:p w14:paraId="0FA5D6F1" w14:textId="77777777" w:rsidR="00D5468E" w:rsidRPr="00BE106A" w:rsidRDefault="00D5468E" w:rsidP="00A25402">
            <w:pPr>
              <w:rPr>
                <w:rFonts w:cs="Times New Roman"/>
                <w:noProof w:val="0"/>
                <w:sz w:val="18"/>
                <w:szCs w:val="18"/>
              </w:rPr>
            </w:pPr>
            <w:r w:rsidRPr="00BE106A">
              <w:rPr>
                <w:rFonts w:cs="Times New Roman"/>
                <w:noProof w:val="0"/>
                <w:sz w:val="18"/>
                <w:szCs w:val="18"/>
              </w:rPr>
              <w:t>Deep Learning Models</w:t>
            </w:r>
          </w:p>
        </w:tc>
        <w:tc>
          <w:tcPr>
            <w:tcW w:w="2669" w:type="dxa"/>
            <w:hideMark/>
          </w:tcPr>
          <w:p w14:paraId="68338309" w14:textId="77777777" w:rsidR="00D5468E" w:rsidRPr="00BE106A" w:rsidRDefault="00D5468E" w:rsidP="00A25402">
            <w:pPr>
              <w:rPr>
                <w:rFonts w:cs="Times New Roman"/>
                <w:noProof w:val="0"/>
                <w:sz w:val="18"/>
                <w:szCs w:val="18"/>
              </w:rPr>
            </w:pPr>
            <w:r w:rsidRPr="00BE106A">
              <w:rPr>
                <w:rFonts w:cs="Times New Roman"/>
                <w:noProof w:val="0"/>
                <w:sz w:val="18"/>
                <w:szCs w:val="18"/>
              </w:rPr>
              <w:t>Biosensors, Spectroscopic</w:t>
            </w:r>
          </w:p>
        </w:tc>
        <w:tc>
          <w:tcPr>
            <w:tcW w:w="0" w:type="auto"/>
            <w:hideMark/>
          </w:tcPr>
          <w:p w14:paraId="1B36E5E9" w14:textId="77777777" w:rsidR="00D5468E" w:rsidRPr="00BE106A" w:rsidRDefault="00D5468E" w:rsidP="00A25402">
            <w:pPr>
              <w:rPr>
                <w:rFonts w:cs="Times New Roman"/>
                <w:noProof w:val="0"/>
                <w:sz w:val="18"/>
                <w:szCs w:val="18"/>
              </w:rPr>
            </w:pPr>
            <w:r w:rsidRPr="00BE106A">
              <w:rPr>
                <w:rFonts w:cs="Times New Roman"/>
                <w:noProof w:val="0"/>
                <w:sz w:val="18"/>
                <w:szCs w:val="18"/>
              </w:rPr>
              <w:t>Contamination risk assessment, real-time monitoring</w:t>
            </w:r>
          </w:p>
        </w:tc>
      </w:tr>
      <w:tr w:rsidR="00D5468E" w:rsidRPr="00BE106A" w14:paraId="32BC9738" w14:textId="77777777" w:rsidTr="00B24FCB">
        <w:tc>
          <w:tcPr>
            <w:tcW w:w="2547" w:type="dxa"/>
            <w:hideMark/>
          </w:tcPr>
          <w:p w14:paraId="4DFF5E4B" w14:textId="77777777" w:rsidR="00D5468E" w:rsidRPr="00BE106A" w:rsidRDefault="00D5468E" w:rsidP="00A25402">
            <w:pPr>
              <w:rPr>
                <w:rFonts w:cs="Times New Roman"/>
                <w:noProof w:val="0"/>
                <w:sz w:val="18"/>
                <w:szCs w:val="18"/>
              </w:rPr>
            </w:pPr>
            <w:r w:rsidRPr="00BE106A">
              <w:rPr>
                <w:rFonts w:cs="Times New Roman"/>
                <w:noProof w:val="0"/>
                <w:sz w:val="18"/>
                <w:szCs w:val="18"/>
              </w:rPr>
              <w:t>Predictive Analytics</w:t>
            </w:r>
          </w:p>
        </w:tc>
        <w:tc>
          <w:tcPr>
            <w:tcW w:w="2669" w:type="dxa"/>
            <w:hideMark/>
          </w:tcPr>
          <w:p w14:paraId="58D1495F" w14:textId="77777777" w:rsidR="00D5468E" w:rsidRPr="00BE106A" w:rsidRDefault="00D5468E" w:rsidP="00A25402">
            <w:pPr>
              <w:rPr>
                <w:rFonts w:cs="Times New Roman"/>
                <w:noProof w:val="0"/>
                <w:sz w:val="18"/>
                <w:szCs w:val="18"/>
              </w:rPr>
            </w:pPr>
            <w:r w:rsidRPr="00BE106A">
              <w:rPr>
                <w:rFonts w:cs="Times New Roman"/>
                <w:noProof w:val="0"/>
                <w:sz w:val="18"/>
                <w:szCs w:val="18"/>
              </w:rPr>
              <w:t>Multi-modal (Imaging + Sensors)</w:t>
            </w:r>
          </w:p>
        </w:tc>
        <w:tc>
          <w:tcPr>
            <w:tcW w:w="0" w:type="auto"/>
            <w:hideMark/>
          </w:tcPr>
          <w:p w14:paraId="6FF8B174" w14:textId="77777777" w:rsidR="00D5468E" w:rsidRPr="00BE106A" w:rsidRDefault="00D5468E" w:rsidP="00A25402">
            <w:pPr>
              <w:rPr>
                <w:rFonts w:cs="Times New Roman"/>
                <w:noProof w:val="0"/>
                <w:sz w:val="18"/>
                <w:szCs w:val="18"/>
              </w:rPr>
            </w:pPr>
            <w:r w:rsidRPr="00BE106A">
              <w:rPr>
                <w:rFonts w:cs="Times New Roman"/>
                <w:noProof w:val="0"/>
                <w:sz w:val="18"/>
                <w:szCs w:val="18"/>
              </w:rPr>
              <w:t>Early warning for contaminants, blockchain-enhanced accountability</w:t>
            </w:r>
          </w:p>
        </w:tc>
      </w:tr>
    </w:tbl>
    <w:p w14:paraId="4F87E00B" w14:textId="77777777" w:rsidR="00D5468E" w:rsidRPr="00E77347" w:rsidRDefault="00D5468E" w:rsidP="00D5468E">
      <w:pPr>
        <w:jc w:val="both"/>
        <w:rPr>
          <w:rFonts w:asciiTheme="majorBidi" w:hAnsiTheme="majorBidi" w:cstheme="majorBidi"/>
          <w:sz w:val="22"/>
          <w:szCs w:val="22"/>
        </w:rPr>
      </w:pPr>
    </w:p>
    <w:p w14:paraId="2AAAF0EC" w14:textId="77777777" w:rsidR="00D5468E" w:rsidRPr="00BE106A" w:rsidRDefault="00D5468E" w:rsidP="00D5468E">
      <w:pPr>
        <w:jc w:val="both"/>
        <w:rPr>
          <w:rFonts w:asciiTheme="majorBidi" w:hAnsiTheme="majorBidi" w:cstheme="majorBidi"/>
          <w:i/>
          <w:iCs/>
        </w:rPr>
      </w:pPr>
      <w:r w:rsidRPr="00BE106A">
        <w:rPr>
          <w:rFonts w:asciiTheme="majorBidi" w:hAnsiTheme="majorBidi" w:cstheme="majorBidi"/>
          <w:i/>
          <w:iCs/>
        </w:rPr>
        <w:t>2.6 Sustainability and Circularity in AI-Driven Food Processing</w:t>
      </w:r>
    </w:p>
    <w:p w14:paraId="7AE948ED" w14:textId="1A733D9E" w:rsidR="00D5468E" w:rsidRPr="00BE106A" w:rsidRDefault="00D5468E" w:rsidP="00D5468E">
      <w:pPr>
        <w:jc w:val="both"/>
        <w:rPr>
          <w:rFonts w:asciiTheme="majorBidi" w:hAnsiTheme="majorBidi" w:cstheme="majorBidi"/>
        </w:rPr>
      </w:pPr>
      <w:r w:rsidRPr="00BE106A">
        <w:rPr>
          <w:rFonts w:asciiTheme="majorBidi" w:hAnsiTheme="majorBidi" w:cstheme="majorBidi"/>
        </w:rPr>
        <w:t>At the industrial stage, AI contributes to sustainability by optimizing energy use, reducing waste, and supporting circular economy practices [</w:t>
      </w:r>
      <w:r w:rsidR="00751828">
        <w:rPr>
          <w:rFonts w:asciiTheme="majorBidi" w:hAnsiTheme="majorBidi" w:cstheme="majorBidi"/>
        </w:rPr>
        <w:t>8</w:t>
      </w:r>
      <w:r w:rsidRPr="00BE106A">
        <w:rPr>
          <w:rFonts w:asciiTheme="majorBidi" w:hAnsiTheme="majorBidi" w:cstheme="majorBidi"/>
        </w:rPr>
        <w:t>]. Intelligent process control systems adjust operational parameters in real time based on sensor feedback, improving efficiency and reducing emissions [</w:t>
      </w:r>
      <w:r w:rsidR="00751828">
        <w:rPr>
          <w:rFonts w:asciiTheme="majorBidi" w:hAnsiTheme="majorBidi" w:cstheme="majorBidi"/>
        </w:rPr>
        <w:t>15</w:t>
      </w:r>
      <w:r w:rsidRPr="00BE106A">
        <w:rPr>
          <w:rFonts w:asciiTheme="majorBidi" w:hAnsiTheme="majorBidi" w:cstheme="majorBidi"/>
        </w:rPr>
        <w:t>]. Life-cycle-oriented AI models further assist in evaluating trade-offs between productivity and environmental impact [</w:t>
      </w:r>
      <w:r w:rsidR="00751828">
        <w:rPr>
          <w:rFonts w:asciiTheme="majorBidi" w:hAnsiTheme="majorBidi" w:cstheme="majorBidi"/>
        </w:rPr>
        <w:t>32</w:t>
      </w:r>
      <w:r w:rsidRPr="00BE106A">
        <w:rPr>
          <w:rFonts w:asciiTheme="majorBidi" w:hAnsiTheme="majorBidi" w:cstheme="majorBidi"/>
        </w:rPr>
        <w:t>].</w:t>
      </w:r>
    </w:p>
    <w:p w14:paraId="629F98F7" w14:textId="62525271" w:rsidR="00D5468E" w:rsidRPr="00BE106A" w:rsidRDefault="00D5468E" w:rsidP="00D5468E">
      <w:pPr>
        <w:jc w:val="both"/>
        <w:rPr>
          <w:rFonts w:asciiTheme="majorBidi" w:hAnsiTheme="majorBidi" w:cstheme="majorBidi"/>
        </w:rPr>
      </w:pPr>
      <w:r w:rsidRPr="00BE106A">
        <w:rPr>
          <w:rFonts w:asciiTheme="majorBidi" w:hAnsiTheme="majorBidi" w:cstheme="majorBidi"/>
        </w:rPr>
        <w:t>Recent studies argue that AI-enabled Industry 4.0 frameworks are essential for aligning food processing operations with sustainability targets [</w:t>
      </w:r>
      <w:r w:rsidR="00751828">
        <w:rPr>
          <w:rFonts w:asciiTheme="majorBidi" w:hAnsiTheme="majorBidi" w:cstheme="majorBidi"/>
        </w:rPr>
        <w:t>30</w:t>
      </w:r>
      <w:r w:rsidRPr="00BE106A">
        <w:rPr>
          <w:rFonts w:asciiTheme="majorBidi" w:hAnsiTheme="majorBidi" w:cstheme="majorBidi"/>
        </w:rPr>
        <w:t>]. However, scholars caution that digitalization itself has environmental costs, including energy consumption and electronic waste, which must be addressed through responsible system design [</w:t>
      </w:r>
      <w:r w:rsidR="00751828">
        <w:rPr>
          <w:rFonts w:asciiTheme="majorBidi" w:hAnsiTheme="majorBidi" w:cstheme="majorBidi"/>
        </w:rPr>
        <w:t>16</w:t>
      </w:r>
      <w:r w:rsidRPr="00BE106A">
        <w:rPr>
          <w:rFonts w:asciiTheme="majorBidi" w:hAnsiTheme="majorBidi" w:cstheme="majorBidi"/>
        </w:rPr>
        <w:t>].</w:t>
      </w:r>
    </w:p>
    <w:p w14:paraId="1FBC3916" w14:textId="77777777" w:rsidR="00D5468E" w:rsidRPr="00E77347" w:rsidRDefault="00D5468E" w:rsidP="00D5468E">
      <w:pPr>
        <w:jc w:val="both"/>
        <w:rPr>
          <w:rFonts w:asciiTheme="majorBidi" w:hAnsiTheme="majorBidi" w:cstheme="majorBidi"/>
          <w:sz w:val="22"/>
          <w:szCs w:val="22"/>
        </w:rPr>
      </w:pPr>
    </w:p>
    <w:p w14:paraId="12E6D66A" w14:textId="77777777" w:rsidR="00D5468E" w:rsidRPr="00BE106A" w:rsidRDefault="00D5468E" w:rsidP="00D5468E">
      <w:pPr>
        <w:jc w:val="both"/>
        <w:rPr>
          <w:rFonts w:asciiTheme="majorBidi" w:hAnsiTheme="majorBidi" w:cstheme="majorBidi"/>
          <w:i/>
          <w:iCs/>
        </w:rPr>
      </w:pPr>
      <w:r w:rsidRPr="00BE106A">
        <w:rPr>
          <w:rFonts w:asciiTheme="majorBidi" w:hAnsiTheme="majorBidi" w:cstheme="majorBidi"/>
          <w:i/>
          <w:iCs/>
        </w:rPr>
        <w:t>2.7 Synthesis of Research Gaps</w:t>
      </w:r>
    </w:p>
    <w:p w14:paraId="20563791" w14:textId="05D1D92E" w:rsidR="00D5468E" w:rsidRPr="00BE106A" w:rsidRDefault="00D5468E" w:rsidP="00BE106A">
      <w:pPr>
        <w:jc w:val="both"/>
        <w:rPr>
          <w:rFonts w:asciiTheme="majorBidi" w:hAnsiTheme="majorBidi" w:cstheme="majorBidi"/>
        </w:rPr>
      </w:pPr>
      <w:r w:rsidRPr="00BE106A">
        <w:rPr>
          <w:rFonts w:asciiTheme="majorBidi" w:hAnsiTheme="majorBidi" w:cstheme="majorBidi"/>
        </w:rPr>
        <w:t>The reviewed literature reveals four persistent gaps:</w:t>
      </w:r>
    </w:p>
    <w:p w14:paraId="26E706D3" w14:textId="25195D99" w:rsidR="00D5468E" w:rsidRPr="00B24FCB" w:rsidRDefault="00D5468E" w:rsidP="00B24FCB">
      <w:pPr>
        <w:pStyle w:val="ListParagraph"/>
        <w:numPr>
          <w:ilvl w:val="0"/>
          <w:numId w:val="26"/>
        </w:numPr>
        <w:jc w:val="both"/>
        <w:rPr>
          <w:rFonts w:asciiTheme="majorBidi" w:hAnsiTheme="majorBidi" w:cstheme="majorBidi"/>
        </w:rPr>
      </w:pPr>
      <w:r w:rsidRPr="00B24FCB">
        <w:rPr>
          <w:rFonts w:asciiTheme="majorBidi" w:hAnsiTheme="majorBidi" w:cstheme="majorBidi"/>
        </w:rPr>
        <w:t>Limited end-to-end integration across farm, supply chain, and industry stages [</w:t>
      </w:r>
      <w:r w:rsidR="00751828">
        <w:rPr>
          <w:rFonts w:asciiTheme="majorBidi" w:hAnsiTheme="majorBidi" w:cstheme="majorBidi"/>
        </w:rPr>
        <w:t>6</w:t>
      </w:r>
      <w:r w:rsidRPr="00B24FCB">
        <w:rPr>
          <w:rFonts w:asciiTheme="majorBidi" w:hAnsiTheme="majorBidi" w:cstheme="majorBidi"/>
        </w:rPr>
        <w:t>].</w:t>
      </w:r>
    </w:p>
    <w:p w14:paraId="250C2DEF" w14:textId="05D887CF" w:rsidR="00D5468E" w:rsidRPr="00B24FCB" w:rsidRDefault="00D5468E" w:rsidP="00B24FCB">
      <w:pPr>
        <w:pStyle w:val="ListParagraph"/>
        <w:numPr>
          <w:ilvl w:val="0"/>
          <w:numId w:val="26"/>
        </w:numPr>
        <w:jc w:val="both"/>
        <w:rPr>
          <w:rFonts w:asciiTheme="majorBidi" w:hAnsiTheme="majorBidi" w:cstheme="majorBidi"/>
        </w:rPr>
      </w:pPr>
      <w:r w:rsidRPr="00B24FCB">
        <w:rPr>
          <w:rFonts w:asciiTheme="majorBidi" w:hAnsiTheme="majorBidi" w:cstheme="majorBidi"/>
        </w:rPr>
        <w:t>Insufficient generalizability and explainability of AI models across climatic contexts [</w:t>
      </w:r>
      <w:r w:rsidR="00751828">
        <w:rPr>
          <w:rFonts w:asciiTheme="majorBidi" w:hAnsiTheme="majorBidi" w:cstheme="majorBidi"/>
        </w:rPr>
        <w:t>24</w:t>
      </w:r>
      <w:r w:rsidRPr="00B24FCB">
        <w:rPr>
          <w:rFonts w:asciiTheme="majorBidi" w:hAnsiTheme="majorBidi" w:cstheme="majorBidi"/>
        </w:rPr>
        <w:t>].</w:t>
      </w:r>
    </w:p>
    <w:p w14:paraId="5B82264F" w14:textId="57ADBF83" w:rsidR="00D5468E" w:rsidRPr="00B24FCB" w:rsidRDefault="00D5468E" w:rsidP="00B24FCB">
      <w:pPr>
        <w:pStyle w:val="ListParagraph"/>
        <w:numPr>
          <w:ilvl w:val="0"/>
          <w:numId w:val="26"/>
        </w:numPr>
        <w:jc w:val="both"/>
        <w:rPr>
          <w:rFonts w:asciiTheme="majorBidi" w:hAnsiTheme="majorBidi" w:cstheme="majorBidi"/>
        </w:rPr>
      </w:pPr>
      <w:r w:rsidRPr="00B24FCB">
        <w:rPr>
          <w:rFonts w:asciiTheme="majorBidi" w:hAnsiTheme="majorBidi" w:cstheme="majorBidi"/>
        </w:rPr>
        <w:t>Absence of standardized resilience and sustainability metrics [</w:t>
      </w:r>
      <w:r w:rsidR="00751828">
        <w:rPr>
          <w:rFonts w:asciiTheme="majorBidi" w:hAnsiTheme="majorBidi" w:cstheme="majorBidi"/>
        </w:rPr>
        <w:t>11</w:t>
      </w:r>
      <w:r w:rsidRPr="00B24FCB">
        <w:rPr>
          <w:rFonts w:asciiTheme="majorBidi" w:hAnsiTheme="majorBidi" w:cstheme="majorBidi"/>
        </w:rPr>
        <w:t>].</w:t>
      </w:r>
    </w:p>
    <w:p w14:paraId="67ADB7D6" w14:textId="4131E7FB" w:rsidR="00D5468E" w:rsidRPr="00B24FCB" w:rsidRDefault="00D5468E" w:rsidP="00B24FCB">
      <w:pPr>
        <w:pStyle w:val="ListParagraph"/>
        <w:numPr>
          <w:ilvl w:val="0"/>
          <w:numId w:val="26"/>
        </w:numPr>
        <w:jc w:val="both"/>
        <w:rPr>
          <w:rFonts w:asciiTheme="majorBidi" w:hAnsiTheme="majorBidi" w:cstheme="majorBidi"/>
        </w:rPr>
      </w:pPr>
      <w:r w:rsidRPr="00B24FCB">
        <w:rPr>
          <w:rFonts w:asciiTheme="majorBidi" w:hAnsiTheme="majorBidi" w:cstheme="majorBidi"/>
        </w:rPr>
        <w:t>Weak coupling between technical systems and governance frameworks [</w:t>
      </w:r>
      <w:r w:rsidR="00751828">
        <w:rPr>
          <w:rFonts w:asciiTheme="majorBidi" w:hAnsiTheme="majorBidi" w:cstheme="majorBidi"/>
        </w:rPr>
        <w:t>5</w:t>
      </w:r>
      <w:r w:rsidRPr="00B24FCB">
        <w:rPr>
          <w:rFonts w:asciiTheme="majorBidi" w:hAnsiTheme="majorBidi" w:cstheme="majorBidi"/>
        </w:rPr>
        <w:t>].</w:t>
      </w:r>
    </w:p>
    <w:p w14:paraId="0E72756C" w14:textId="77777777" w:rsidR="00D5468E" w:rsidRPr="00BE106A" w:rsidRDefault="00D5468E" w:rsidP="00D5468E">
      <w:pPr>
        <w:jc w:val="both"/>
        <w:rPr>
          <w:rFonts w:asciiTheme="majorBidi" w:hAnsiTheme="majorBidi" w:cstheme="majorBidi"/>
        </w:rPr>
      </w:pPr>
      <w:r w:rsidRPr="00BE106A">
        <w:rPr>
          <w:rFonts w:asciiTheme="majorBidi" w:hAnsiTheme="majorBidi" w:cstheme="majorBidi"/>
        </w:rPr>
        <w:t>These gaps motivate the need for a system-level AI–IoT framework capable of supporting climate-resilient, safe, and sustainable food systems; which this study addresses in the subsequent Methodology section.</w:t>
      </w:r>
    </w:p>
    <w:p w14:paraId="6003FF36" w14:textId="77777777" w:rsidR="00D5468E" w:rsidRPr="00E77347" w:rsidRDefault="00D5468E" w:rsidP="00D5468E">
      <w:pPr>
        <w:jc w:val="both"/>
        <w:rPr>
          <w:rFonts w:asciiTheme="majorBidi" w:hAnsiTheme="majorBidi" w:cstheme="majorBidi"/>
          <w:sz w:val="22"/>
          <w:szCs w:val="22"/>
        </w:rPr>
      </w:pPr>
    </w:p>
    <w:p w14:paraId="28869468" w14:textId="656FAC77" w:rsidR="00D5468E" w:rsidRPr="00BE106A" w:rsidRDefault="00D5468E" w:rsidP="00BE106A">
      <w:pPr>
        <w:pStyle w:val="ListParagraph"/>
        <w:numPr>
          <w:ilvl w:val="0"/>
          <w:numId w:val="16"/>
        </w:numPr>
        <w:jc w:val="both"/>
        <w:rPr>
          <w:rFonts w:asciiTheme="majorBidi" w:hAnsiTheme="majorBidi" w:cstheme="majorBidi"/>
          <w:b/>
          <w:bCs/>
          <w:sz w:val="22"/>
          <w:szCs w:val="22"/>
        </w:rPr>
      </w:pPr>
      <w:r w:rsidRPr="00BE106A">
        <w:rPr>
          <w:rFonts w:asciiTheme="majorBidi" w:hAnsiTheme="majorBidi" w:cstheme="majorBidi"/>
          <w:b/>
          <w:bCs/>
          <w:sz w:val="22"/>
          <w:szCs w:val="22"/>
        </w:rPr>
        <w:t>Methodology</w:t>
      </w:r>
    </w:p>
    <w:p w14:paraId="4DF8186C" w14:textId="77777777" w:rsidR="00D5468E" w:rsidRPr="00BE106A" w:rsidRDefault="00D5468E" w:rsidP="00D5468E">
      <w:pPr>
        <w:jc w:val="both"/>
        <w:rPr>
          <w:rFonts w:asciiTheme="majorBidi" w:hAnsiTheme="majorBidi" w:cstheme="majorBidi"/>
          <w:i/>
          <w:iCs/>
        </w:rPr>
      </w:pPr>
      <w:r w:rsidRPr="00BE106A">
        <w:rPr>
          <w:rFonts w:asciiTheme="majorBidi" w:hAnsiTheme="majorBidi" w:cstheme="majorBidi"/>
          <w:i/>
          <w:iCs/>
        </w:rPr>
        <w:t>3.1 Research Design and Methodological Approach</w:t>
      </w:r>
    </w:p>
    <w:p w14:paraId="0C9A5168" w14:textId="4285C4F2" w:rsidR="00D5468E" w:rsidRPr="00BE106A" w:rsidRDefault="00D5468E" w:rsidP="00BE106A">
      <w:pPr>
        <w:jc w:val="both"/>
        <w:rPr>
          <w:rFonts w:asciiTheme="majorBidi" w:hAnsiTheme="majorBidi" w:cstheme="majorBidi"/>
        </w:rPr>
      </w:pPr>
      <w:r w:rsidRPr="00BE106A">
        <w:rPr>
          <w:rFonts w:asciiTheme="majorBidi" w:hAnsiTheme="majorBidi" w:cstheme="majorBidi"/>
        </w:rPr>
        <w:t>This study adopts a hybrid methodological approach that integrates a conceptual system framework with simulation-based evaluation to examine how AI- and smart sensor–driven systems contribute to climate resilience, food safety, and sustainability across food systems [1][2]. The hybrid approach is selected to address the limitations of purely empirical studies, which often suffer from restricted generalizability, and purely conceptual analyses, which lack quantitative validation [3].</w:t>
      </w:r>
    </w:p>
    <w:p w14:paraId="1731BC1B" w14:textId="77777777" w:rsidR="00D5468E" w:rsidRPr="00BE106A" w:rsidRDefault="00D5468E" w:rsidP="00D5468E">
      <w:pPr>
        <w:jc w:val="both"/>
        <w:rPr>
          <w:rFonts w:asciiTheme="majorBidi" w:hAnsiTheme="majorBidi" w:cstheme="majorBidi"/>
        </w:rPr>
      </w:pPr>
      <w:r w:rsidRPr="00BE106A">
        <w:rPr>
          <w:rFonts w:asciiTheme="majorBidi" w:hAnsiTheme="majorBidi" w:cstheme="majorBidi"/>
        </w:rPr>
        <w:t xml:space="preserve">The methodology is structured around three analytical layers:  </w:t>
      </w:r>
    </w:p>
    <w:p w14:paraId="6A0A098F" w14:textId="77777777" w:rsidR="00D5468E" w:rsidRPr="00BE106A" w:rsidRDefault="00D5468E" w:rsidP="00D5468E">
      <w:pPr>
        <w:jc w:val="both"/>
        <w:rPr>
          <w:rFonts w:asciiTheme="majorBidi" w:hAnsiTheme="majorBidi" w:cstheme="majorBidi"/>
        </w:rPr>
      </w:pPr>
      <w:r w:rsidRPr="00BE106A">
        <w:rPr>
          <w:rFonts w:asciiTheme="majorBidi" w:hAnsiTheme="majorBidi" w:cstheme="majorBidi"/>
        </w:rPr>
        <w:t xml:space="preserve">(i) system architecture design,  </w:t>
      </w:r>
    </w:p>
    <w:p w14:paraId="1E1DA42B" w14:textId="77777777" w:rsidR="00D5468E" w:rsidRPr="00BE106A" w:rsidRDefault="00D5468E" w:rsidP="00D5468E">
      <w:pPr>
        <w:jc w:val="both"/>
        <w:rPr>
          <w:rFonts w:asciiTheme="majorBidi" w:hAnsiTheme="majorBidi" w:cstheme="majorBidi"/>
        </w:rPr>
      </w:pPr>
      <w:r w:rsidRPr="00BE106A">
        <w:rPr>
          <w:rFonts w:asciiTheme="majorBidi" w:hAnsiTheme="majorBidi" w:cstheme="majorBidi"/>
        </w:rPr>
        <w:t xml:space="preserve">(ii) AI model specification and data flow, and  </w:t>
      </w:r>
    </w:p>
    <w:p w14:paraId="722FCAB4" w14:textId="77777777" w:rsidR="00D5468E" w:rsidRPr="00BE106A" w:rsidRDefault="00D5468E" w:rsidP="00D5468E">
      <w:pPr>
        <w:jc w:val="both"/>
        <w:rPr>
          <w:rFonts w:asciiTheme="majorBidi" w:hAnsiTheme="majorBidi" w:cstheme="majorBidi"/>
        </w:rPr>
      </w:pPr>
      <w:r w:rsidRPr="00BE106A">
        <w:rPr>
          <w:rFonts w:asciiTheme="majorBidi" w:hAnsiTheme="majorBidi" w:cstheme="majorBidi"/>
        </w:rPr>
        <w:t>(iii) simulation-based performance evaluation under climate and operational variability scenarios [4]. This structure enables both theoretical coherence and analytical rigor while remaining adaptable to different agricultural and food system contexts [5].</w:t>
      </w:r>
    </w:p>
    <w:p w14:paraId="2E80475D" w14:textId="77777777" w:rsidR="00D5468E" w:rsidRPr="00E77347" w:rsidRDefault="00D5468E" w:rsidP="00D5468E">
      <w:pPr>
        <w:jc w:val="both"/>
        <w:rPr>
          <w:rFonts w:asciiTheme="majorBidi" w:hAnsiTheme="majorBidi" w:cstheme="majorBidi"/>
          <w:sz w:val="22"/>
          <w:szCs w:val="22"/>
        </w:rPr>
      </w:pPr>
    </w:p>
    <w:p w14:paraId="0A3E8AE3" w14:textId="77777777" w:rsidR="00D5468E" w:rsidRPr="00BE106A" w:rsidRDefault="00D5468E" w:rsidP="00D5468E">
      <w:pPr>
        <w:jc w:val="both"/>
        <w:rPr>
          <w:rFonts w:asciiTheme="majorBidi" w:hAnsiTheme="majorBidi" w:cstheme="majorBidi"/>
          <w:i/>
          <w:iCs/>
        </w:rPr>
      </w:pPr>
      <w:r w:rsidRPr="00BE106A">
        <w:rPr>
          <w:rFonts w:asciiTheme="majorBidi" w:hAnsiTheme="majorBidi" w:cstheme="majorBidi"/>
          <w:i/>
          <w:iCs/>
        </w:rPr>
        <w:t>3.2 System Architecture: AI–Sensor–IoT Framework</w:t>
      </w:r>
    </w:p>
    <w:p w14:paraId="1C62E09D" w14:textId="524BD53E" w:rsidR="00D5468E" w:rsidRPr="00BE106A" w:rsidRDefault="00D5468E" w:rsidP="00D5468E">
      <w:pPr>
        <w:jc w:val="both"/>
        <w:rPr>
          <w:rFonts w:asciiTheme="majorBidi" w:hAnsiTheme="majorBidi" w:cstheme="majorBidi"/>
        </w:rPr>
      </w:pPr>
      <w:r w:rsidRPr="00BE106A">
        <w:rPr>
          <w:rFonts w:asciiTheme="majorBidi" w:hAnsiTheme="majorBidi" w:cstheme="majorBidi"/>
        </w:rPr>
        <w:t>The proposed framework conceptualizes the food system as an end-to-end cyber–physical system spanning on-farm production, post-harvest handling, and industrial processing [6]. Smart sensors operate as the primary data acquisition layer, collecting continuous measurements of environmental, biological, and operational variables [</w:t>
      </w:r>
      <w:r w:rsidR="00751828">
        <w:rPr>
          <w:rFonts w:asciiTheme="majorBidi" w:hAnsiTheme="majorBidi" w:cstheme="majorBidi"/>
        </w:rPr>
        <w:t>3</w:t>
      </w:r>
      <w:r w:rsidRPr="00BE106A">
        <w:rPr>
          <w:rFonts w:asciiTheme="majorBidi" w:hAnsiTheme="majorBidi" w:cstheme="majorBidi"/>
        </w:rPr>
        <w:t>]. These data streams are transmitted via IoT networks to edge and cloud computing layers, where AI models perform analytics and decision support functions [8].</w:t>
      </w:r>
    </w:p>
    <w:p w14:paraId="184F98B7" w14:textId="77777777" w:rsidR="00D5468E" w:rsidRPr="00BE106A" w:rsidRDefault="00D5468E" w:rsidP="00D5468E">
      <w:pPr>
        <w:jc w:val="both"/>
        <w:rPr>
          <w:rFonts w:asciiTheme="majorBidi" w:hAnsiTheme="majorBidi" w:cstheme="majorBidi"/>
        </w:rPr>
      </w:pPr>
    </w:p>
    <w:p w14:paraId="58E85AE1" w14:textId="77777777" w:rsidR="00B24FCB" w:rsidRDefault="00B24FCB" w:rsidP="00B24FCB">
      <w:pPr>
        <w:jc w:val="both"/>
        <w:rPr>
          <w:rFonts w:asciiTheme="majorBidi" w:hAnsiTheme="majorBidi" w:cstheme="majorBidi"/>
        </w:rPr>
      </w:pPr>
    </w:p>
    <w:p w14:paraId="406125CA" w14:textId="79700121" w:rsidR="00B24FCB" w:rsidRPr="00B24FCB" w:rsidRDefault="00D5468E" w:rsidP="00B24FCB">
      <w:pPr>
        <w:jc w:val="both"/>
        <w:rPr>
          <w:rFonts w:asciiTheme="majorBidi" w:hAnsiTheme="majorBidi" w:cstheme="majorBidi"/>
        </w:rPr>
      </w:pPr>
      <w:r w:rsidRPr="00BE106A">
        <w:rPr>
          <w:rFonts w:asciiTheme="majorBidi" w:hAnsiTheme="majorBidi" w:cstheme="majorBidi"/>
        </w:rPr>
        <w:t>The architecture is modular to enhance scalability and interoperability, consisting of:</w:t>
      </w:r>
    </w:p>
    <w:p w14:paraId="3B47F7CB" w14:textId="62C1D04E" w:rsidR="00D5468E" w:rsidRPr="00BE106A" w:rsidRDefault="00D5468E" w:rsidP="00BE106A">
      <w:pPr>
        <w:pStyle w:val="ListParagraph"/>
        <w:numPr>
          <w:ilvl w:val="0"/>
          <w:numId w:val="21"/>
        </w:numPr>
        <w:jc w:val="both"/>
        <w:rPr>
          <w:rFonts w:asciiTheme="majorBidi" w:hAnsiTheme="majorBidi" w:cstheme="majorBidi"/>
        </w:rPr>
      </w:pPr>
      <w:r w:rsidRPr="00BE106A">
        <w:rPr>
          <w:rFonts w:asciiTheme="majorBidi" w:hAnsiTheme="majorBidi" w:cstheme="majorBidi"/>
        </w:rPr>
        <w:t>Sensing layer: soil moisture sensors, microclimate stations, multispectral imaging, biosensors [9];</w:t>
      </w:r>
    </w:p>
    <w:p w14:paraId="59408B55" w14:textId="326A456E" w:rsidR="00D5468E" w:rsidRPr="00BE106A" w:rsidRDefault="00D5468E" w:rsidP="00BE106A">
      <w:pPr>
        <w:pStyle w:val="ListParagraph"/>
        <w:numPr>
          <w:ilvl w:val="0"/>
          <w:numId w:val="21"/>
        </w:numPr>
        <w:jc w:val="both"/>
        <w:rPr>
          <w:rFonts w:asciiTheme="majorBidi" w:hAnsiTheme="majorBidi" w:cstheme="majorBidi"/>
        </w:rPr>
      </w:pPr>
      <w:r w:rsidRPr="00BE106A">
        <w:rPr>
          <w:rFonts w:asciiTheme="majorBidi" w:hAnsiTheme="majorBidi" w:cstheme="majorBidi"/>
        </w:rPr>
        <w:t>Communication layer: IoT protocols enabling real-time data transfer [</w:t>
      </w:r>
      <w:r w:rsidR="00751828">
        <w:rPr>
          <w:rFonts w:asciiTheme="majorBidi" w:hAnsiTheme="majorBidi" w:cstheme="majorBidi"/>
        </w:rPr>
        <w:t>26</w:t>
      </w:r>
      <w:r w:rsidRPr="00BE106A">
        <w:rPr>
          <w:rFonts w:asciiTheme="majorBidi" w:hAnsiTheme="majorBidi" w:cstheme="majorBidi"/>
        </w:rPr>
        <w:t>];</w:t>
      </w:r>
    </w:p>
    <w:p w14:paraId="2E4EEDAA" w14:textId="6E9AD0F0" w:rsidR="00D5468E" w:rsidRPr="00BE106A" w:rsidRDefault="00D5468E" w:rsidP="00BE106A">
      <w:pPr>
        <w:pStyle w:val="ListParagraph"/>
        <w:numPr>
          <w:ilvl w:val="0"/>
          <w:numId w:val="21"/>
        </w:numPr>
        <w:jc w:val="both"/>
        <w:rPr>
          <w:rFonts w:asciiTheme="majorBidi" w:hAnsiTheme="majorBidi" w:cstheme="majorBidi"/>
        </w:rPr>
      </w:pPr>
      <w:r w:rsidRPr="00BE106A">
        <w:rPr>
          <w:rFonts w:asciiTheme="majorBidi" w:hAnsiTheme="majorBidi" w:cstheme="majorBidi"/>
        </w:rPr>
        <w:t>Analytics layer: AI and ML models for prediction, classification, and optimization [11];</w:t>
      </w:r>
    </w:p>
    <w:p w14:paraId="2500633C" w14:textId="486F6AAB" w:rsidR="00D5468E" w:rsidRPr="00BE106A" w:rsidRDefault="00D5468E" w:rsidP="00BE106A">
      <w:pPr>
        <w:pStyle w:val="ListParagraph"/>
        <w:numPr>
          <w:ilvl w:val="0"/>
          <w:numId w:val="21"/>
        </w:numPr>
        <w:jc w:val="both"/>
        <w:rPr>
          <w:rFonts w:asciiTheme="majorBidi" w:hAnsiTheme="majorBidi" w:cstheme="majorBidi"/>
        </w:rPr>
      </w:pPr>
      <w:r w:rsidRPr="00BE106A">
        <w:rPr>
          <w:rFonts w:asciiTheme="majorBidi" w:hAnsiTheme="majorBidi" w:cstheme="majorBidi"/>
        </w:rPr>
        <w:t>Decision layer: automated or human-in-the-loop interventions [</w:t>
      </w:r>
      <w:r w:rsidR="00751828">
        <w:rPr>
          <w:rFonts w:asciiTheme="majorBidi" w:hAnsiTheme="majorBidi" w:cstheme="majorBidi"/>
        </w:rPr>
        <w:t>24</w:t>
      </w:r>
      <w:r w:rsidRPr="00BE106A">
        <w:rPr>
          <w:rFonts w:asciiTheme="majorBidi" w:hAnsiTheme="majorBidi" w:cstheme="majorBidi"/>
        </w:rPr>
        <w:t>].</w:t>
      </w:r>
    </w:p>
    <w:p w14:paraId="1AEBAB6C" w14:textId="1299F913" w:rsidR="00D5468E" w:rsidRPr="00E77347" w:rsidRDefault="00D5468E" w:rsidP="00D5468E">
      <w:pPr>
        <w:jc w:val="both"/>
        <w:rPr>
          <w:rFonts w:asciiTheme="majorBidi" w:hAnsiTheme="majorBidi" w:cstheme="majorBidi"/>
          <w:sz w:val="22"/>
          <w:szCs w:val="22"/>
        </w:rPr>
      </w:pPr>
    </w:p>
    <w:p w14:paraId="75DEB93D" w14:textId="37F4FCE2" w:rsidR="00D5468E" w:rsidRPr="00BE106A" w:rsidRDefault="00B24FCB" w:rsidP="00BE106A">
      <w:pPr>
        <w:jc w:val="both"/>
        <w:rPr>
          <w:rFonts w:asciiTheme="majorBidi" w:hAnsiTheme="majorBidi" w:cstheme="majorBidi"/>
          <w:b/>
          <w:bCs/>
          <w:sz w:val="18"/>
          <w:szCs w:val="18"/>
        </w:rPr>
      </w:pPr>
      <w:r w:rsidRPr="00BE106A">
        <w:rPr>
          <w:rFonts w:asciiTheme="majorBidi" w:hAnsiTheme="majorBidi" w:cstheme="majorBidi"/>
          <w:b/>
          <w:bCs/>
          <w:sz w:val="18"/>
          <w:szCs w:val="18"/>
        </w:rPr>
        <w:drawing>
          <wp:anchor distT="0" distB="0" distL="114300" distR="114300" simplePos="0" relativeHeight="251660288" behindDoc="0" locked="0" layoutInCell="1" allowOverlap="1" wp14:anchorId="1CA9D2BD" wp14:editId="52CA66D0">
            <wp:simplePos x="0" y="0"/>
            <wp:positionH relativeFrom="column">
              <wp:posOffset>346710</wp:posOffset>
            </wp:positionH>
            <wp:positionV relativeFrom="page">
              <wp:posOffset>2257425</wp:posOffset>
            </wp:positionV>
            <wp:extent cx="5153025" cy="2806700"/>
            <wp:effectExtent l="0" t="0" r="9525"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a:extLst>
                        <a:ext uri="{BEBA8EAE-BF5A-486C-A8C5-ECC9F3942E4B}">
                          <a14:imgProps xmlns:a14="http://schemas.microsoft.com/office/drawing/2010/main">
                            <a14:imgLayer r:embed="rId1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153025" cy="2806700"/>
                    </a:xfrm>
                    <a:prstGeom prst="rect">
                      <a:avLst/>
                    </a:prstGeom>
                  </pic:spPr>
                </pic:pic>
              </a:graphicData>
            </a:graphic>
            <wp14:sizeRelH relativeFrom="margin">
              <wp14:pctWidth>0</wp14:pctWidth>
            </wp14:sizeRelH>
            <wp14:sizeRelV relativeFrom="margin">
              <wp14:pctHeight>0</wp14:pctHeight>
            </wp14:sizeRelV>
          </wp:anchor>
        </w:drawing>
      </w:r>
      <w:r w:rsidR="00D5468E" w:rsidRPr="00BE106A">
        <w:rPr>
          <w:rFonts w:asciiTheme="majorBidi" w:hAnsiTheme="majorBidi" w:cstheme="majorBidi"/>
          <w:b/>
          <w:bCs/>
          <w:sz w:val="18"/>
          <w:szCs w:val="18"/>
        </w:rPr>
        <w:t>Figure 2</w:t>
      </w:r>
      <w:r w:rsidR="00BE106A" w:rsidRPr="00BE106A">
        <w:rPr>
          <w:rFonts w:asciiTheme="majorBidi" w:hAnsiTheme="majorBidi" w:cstheme="majorBidi"/>
          <w:b/>
          <w:bCs/>
          <w:sz w:val="18"/>
          <w:szCs w:val="18"/>
        </w:rPr>
        <w:t xml:space="preserve">: </w:t>
      </w:r>
      <w:r w:rsidR="00D5468E" w:rsidRPr="00BE106A">
        <w:rPr>
          <w:rFonts w:asciiTheme="majorBidi" w:hAnsiTheme="majorBidi" w:cstheme="majorBidi"/>
          <w:b/>
          <w:bCs/>
          <w:sz w:val="18"/>
          <w:szCs w:val="18"/>
        </w:rPr>
        <w:t>System architecture of the AI–smart sensor–IoT framework for climate-resilient food systems.</w:t>
      </w:r>
    </w:p>
    <w:p w14:paraId="3812EEAC" w14:textId="47615097" w:rsidR="00BE106A" w:rsidRDefault="00BE106A" w:rsidP="00D5468E">
      <w:pPr>
        <w:jc w:val="both"/>
        <w:rPr>
          <w:rFonts w:asciiTheme="majorBidi" w:hAnsiTheme="majorBidi" w:cstheme="majorBidi"/>
          <w:sz w:val="22"/>
          <w:szCs w:val="22"/>
        </w:rPr>
      </w:pPr>
    </w:p>
    <w:p w14:paraId="7C755D7B" w14:textId="748C70B9" w:rsidR="00D5468E" w:rsidRPr="00BE106A" w:rsidRDefault="00D5468E" w:rsidP="00D5468E">
      <w:pPr>
        <w:jc w:val="both"/>
        <w:rPr>
          <w:rFonts w:asciiTheme="majorBidi" w:hAnsiTheme="majorBidi" w:cstheme="majorBidi"/>
        </w:rPr>
      </w:pPr>
      <w:r w:rsidRPr="00BE106A">
        <w:rPr>
          <w:rFonts w:asciiTheme="majorBidi" w:hAnsiTheme="majorBidi" w:cstheme="majorBidi"/>
        </w:rPr>
        <w:t>This layered architecture addresses interoperability challenges identified in recent studies by decoupling hardware, analytics, and decision logic components [9].</w:t>
      </w:r>
    </w:p>
    <w:p w14:paraId="3D902F7F" w14:textId="15296F02" w:rsidR="00D5468E" w:rsidRPr="00E77347" w:rsidRDefault="00D5468E" w:rsidP="00D5468E">
      <w:pPr>
        <w:jc w:val="both"/>
        <w:rPr>
          <w:rFonts w:asciiTheme="majorBidi" w:hAnsiTheme="majorBidi" w:cstheme="majorBidi"/>
          <w:sz w:val="22"/>
          <w:szCs w:val="22"/>
        </w:rPr>
      </w:pPr>
    </w:p>
    <w:p w14:paraId="5F7ADFB2" w14:textId="44FFB84E" w:rsidR="00D5468E" w:rsidRPr="00BE106A" w:rsidRDefault="00D5468E" w:rsidP="00D5468E">
      <w:pPr>
        <w:jc w:val="both"/>
        <w:rPr>
          <w:rFonts w:asciiTheme="majorBidi" w:hAnsiTheme="majorBidi" w:cstheme="majorBidi"/>
          <w:i/>
          <w:iCs/>
        </w:rPr>
      </w:pPr>
      <w:r w:rsidRPr="00BE106A">
        <w:rPr>
          <w:rFonts w:asciiTheme="majorBidi" w:hAnsiTheme="majorBidi" w:cstheme="majorBidi"/>
          <w:i/>
          <w:iCs/>
        </w:rPr>
        <w:t>3.3 Data Sources and Simulation Inputs</w:t>
      </w:r>
    </w:p>
    <w:p w14:paraId="66A3FE36" w14:textId="7B6CB31F" w:rsidR="00D5468E" w:rsidRPr="00BE106A" w:rsidRDefault="00D5468E" w:rsidP="00BE106A">
      <w:pPr>
        <w:jc w:val="both"/>
        <w:rPr>
          <w:rFonts w:asciiTheme="majorBidi" w:hAnsiTheme="majorBidi" w:cstheme="majorBidi"/>
        </w:rPr>
      </w:pPr>
      <w:r w:rsidRPr="00BE106A">
        <w:rPr>
          <w:rFonts w:asciiTheme="majorBidi" w:hAnsiTheme="majorBidi" w:cstheme="majorBidi"/>
        </w:rPr>
        <w:t>Given the system-level scope, this study employs synthetic simulation datasets calibrated using statistical ranges reported in post-2022 high-impact literature [13][</w:t>
      </w:r>
      <w:r w:rsidR="00751828">
        <w:rPr>
          <w:rFonts w:asciiTheme="majorBidi" w:hAnsiTheme="majorBidi" w:cstheme="majorBidi"/>
        </w:rPr>
        <w:t>5</w:t>
      </w:r>
      <w:r w:rsidRPr="00BE106A">
        <w:rPr>
          <w:rFonts w:asciiTheme="majorBidi" w:hAnsiTheme="majorBidi" w:cstheme="majorBidi"/>
        </w:rPr>
        <w:t>]. Simulation inputs include:</w:t>
      </w:r>
    </w:p>
    <w:p w14:paraId="3E17F801" w14:textId="01C1275B" w:rsidR="00D5468E" w:rsidRPr="00BE106A" w:rsidRDefault="00D5468E" w:rsidP="00BE106A">
      <w:pPr>
        <w:pStyle w:val="ListParagraph"/>
        <w:numPr>
          <w:ilvl w:val="0"/>
          <w:numId w:val="17"/>
        </w:numPr>
        <w:jc w:val="both"/>
        <w:rPr>
          <w:rFonts w:asciiTheme="majorBidi" w:hAnsiTheme="majorBidi" w:cstheme="majorBidi"/>
        </w:rPr>
      </w:pPr>
      <w:r w:rsidRPr="00BE106A">
        <w:rPr>
          <w:rFonts w:asciiTheme="majorBidi" w:hAnsiTheme="majorBidi" w:cstheme="majorBidi"/>
        </w:rPr>
        <w:t>Climatic variables (temperature, precipitation, humidity);</w:t>
      </w:r>
    </w:p>
    <w:p w14:paraId="58BCE8CB" w14:textId="5B1910EE" w:rsidR="00D5468E" w:rsidRPr="00BE106A" w:rsidRDefault="00D5468E" w:rsidP="00BE106A">
      <w:pPr>
        <w:pStyle w:val="ListParagraph"/>
        <w:numPr>
          <w:ilvl w:val="0"/>
          <w:numId w:val="17"/>
        </w:numPr>
        <w:jc w:val="both"/>
        <w:rPr>
          <w:rFonts w:asciiTheme="majorBidi" w:hAnsiTheme="majorBidi" w:cstheme="majorBidi"/>
        </w:rPr>
      </w:pPr>
      <w:r w:rsidRPr="00BE106A">
        <w:rPr>
          <w:rFonts w:asciiTheme="majorBidi" w:hAnsiTheme="majorBidi" w:cstheme="majorBidi"/>
        </w:rPr>
        <w:t>Soil and crop parameters (moisture, nutrient availability, stress indices);</w:t>
      </w:r>
    </w:p>
    <w:p w14:paraId="22ECD712" w14:textId="6B319553" w:rsidR="00D5468E" w:rsidRPr="00BE106A" w:rsidRDefault="00D5468E" w:rsidP="00BE106A">
      <w:pPr>
        <w:pStyle w:val="ListParagraph"/>
        <w:numPr>
          <w:ilvl w:val="0"/>
          <w:numId w:val="17"/>
        </w:numPr>
        <w:jc w:val="both"/>
        <w:rPr>
          <w:rFonts w:asciiTheme="majorBidi" w:hAnsiTheme="majorBidi" w:cstheme="majorBidi"/>
        </w:rPr>
      </w:pPr>
      <w:r w:rsidRPr="00BE106A">
        <w:rPr>
          <w:rFonts w:asciiTheme="majorBidi" w:hAnsiTheme="majorBidi" w:cstheme="majorBidi"/>
        </w:rPr>
        <w:t xml:space="preserve"> Operational variables (irrigation frequency, storage conditions, processing energy use).</w:t>
      </w:r>
    </w:p>
    <w:p w14:paraId="73038BBA" w14:textId="0B3BA9E8" w:rsidR="00D5468E" w:rsidRPr="00BE106A" w:rsidRDefault="00D5468E" w:rsidP="00D5468E">
      <w:pPr>
        <w:jc w:val="both"/>
        <w:rPr>
          <w:rFonts w:asciiTheme="majorBidi" w:hAnsiTheme="majorBidi" w:cstheme="majorBidi"/>
        </w:rPr>
      </w:pPr>
      <w:r w:rsidRPr="00BE106A">
        <w:rPr>
          <w:rFonts w:asciiTheme="majorBidi" w:hAnsiTheme="majorBidi" w:cstheme="majorBidi"/>
        </w:rPr>
        <w:t>Synthetic data generation enables controlled exploration of climate variability and system response while avoiding biases associated with single-site empirical datasets [</w:t>
      </w:r>
      <w:r w:rsidR="00751828">
        <w:rPr>
          <w:rFonts w:asciiTheme="majorBidi" w:hAnsiTheme="majorBidi" w:cstheme="majorBidi"/>
        </w:rPr>
        <w:t>7</w:t>
      </w:r>
      <w:r w:rsidRPr="00BE106A">
        <w:rPr>
          <w:rFonts w:asciiTheme="majorBidi" w:hAnsiTheme="majorBidi" w:cstheme="majorBidi"/>
        </w:rPr>
        <w:t>]. The simulation framework assumes that sensor measurements are subject to stochastic noise consistent with reported sensor accuracy ranges [16].</w:t>
      </w:r>
    </w:p>
    <w:p w14:paraId="6A1455A1" w14:textId="77777777" w:rsidR="00D5468E" w:rsidRPr="00E77347" w:rsidRDefault="00D5468E" w:rsidP="00D5468E">
      <w:pPr>
        <w:jc w:val="both"/>
        <w:rPr>
          <w:rFonts w:asciiTheme="majorBidi" w:hAnsiTheme="majorBidi" w:cstheme="majorBidi"/>
          <w:sz w:val="22"/>
          <w:szCs w:val="22"/>
        </w:rPr>
      </w:pPr>
    </w:p>
    <w:p w14:paraId="2FF98D8C" w14:textId="60D3449E" w:rsidR="00D5468E" w:rsidRPr="00BE106A" w:rsidRDefault="00D5468E" w:rsidP="00BE106A">
      <w:pPr>
        <w:jc w:val="both"/>
        <w:rPr>
          <w:rFonts w:asciiTheme="majorBidi" w:hAnsiTheme="majorBidi" w:cstheme="majorBidi"/>
          <w:b/>
          <w:bCs/>
          <w:sz w:val="18"/>
          <w:szCs w:val="18"/>
        </w:rPr>
      </w:pPr>
      <w:r w:rsidRPr="00BE106A">
        <w:rPr>
          <w:rFonts w:asciiTheme="majorBidi" w:hAnsiTheme="majorBidi" w:cstheme="majorBidi"/>
          <w:b/>
          <w:bCs/>
          <w:sz w:val="18"/>
          <w:szCs w:val="18"/>
        </w:rPr>
        <w:t>Table 3</w:t>
      </w:r>
      <w:r w:rsidR="00BE106A" w:rsidRPr="00BE106A">
        <w:rPr>
          <w:rFonts w:asciiTheme="majorBidi" w:hAnsiTheme="majorBidi" w:cstheme="majorBidi"/>
          <w:b/>
          <w:bCs/>
          <w:sz w:val="18"/>
          <w:szCs w:val="18"/>
        </w:rPr>
        <w:t xml:space="preserve">: </w:t>
      </w:r>
      <w:r w:rsidRPr="00BE106A">
        <w:rPr>
          <w:rFonts w:asciiTheme="majorBidi" w:hAnsiTheme="majorBidi" w:cstheme="majorBidi"/>
          <w:b/>
          <w:bCs/>
          <w:sz w:val="18"/>
          <w:szCs w:val="18"/>
        </w:rPr>
        <w:t>Simulation input variables, ranges, and sources.</w:t>
      </w:r>
    </w:p>
    <w:tbl>
      <w:tblPr>
        <w:tblStyle w:val="TableGrid"/>
        <w:tblW w:w="0" w:type="auto"/>
        <w:jc w:val="center"/>
        <w:tblLook w:val="04A0" w:firstRow="1" w:lastRow="0" w:firstColumn="1" w:lastColumn="0" w:noHBand="0" w:noVBand="1"/>
      </w:tblPr>
      <w:tblGrid>
        <w:gridCol w:w="1445"/>
        <w:gridCol w:w="2616"/>
        <w:gridCol w:w="2929"/>
        <w:gridCol w:w="2355"/>
      </w:tblGrid>
      <w:tr w:rsidR="00D5468E" w:rsidRPr="00BE106A" w14:paraId="25776530" w14:textId="77777777" w:rsidTr="00BE106A">
        <w:trPr>
          <w:jc w:val="center"/>
        </w:trPr>
        <w:tc>
          <w:tcPr>
            <w:tcW w:w="0" w:type="auto"/>
            <w:hideMark/>
          </w:tcPr>
          <w:p w14:paraId="13B7F6A0" w14:textId="77777777" w:rsidR="00D5468E" w:rsidRPr="00BE106A" w:rsidRDefault="00D5468E" w:rsidP="00BE106A">
            <w:pPr>
              <w:jc w:val="center"/>
              <w:rPr>
                <w:rFonts w:cs="Times New Roman"/>
                <w:b/>
                <w:bCs/>
                <w:noProof w:val="0"/>
                <w:sz w:val="18"/>
                <w:szCs w:val="18"/>
              </w:rPr>
            </w:pPr>
            <w:r w:rsidRPr="00BE106A">
              <w:rPr>
                <w:rFonts w:cs="Times New Roman"/>
                <w:b/>
                <w:bCs/>
                <w:noProof w:val="0"/>
                <w:sz w:val="18"/>
                <w:szCs w:val="18"/>
              </w:rPr>
              <w:t>Variable Category</w:t>
            </w:r>
          </w:p>
        </w:tc>
        <w:tc>
          <w:tcPr>
            <w:tcW w:w="0" w:type="auto"/>
            <w:hideMark/>
          </w:tcPr>
          <w:p w14:paraId="137D0589" w14:textId="77777777" w:rsidR="00D5468E" w:rsidRPr="00BE106A" w:rsidRDefault="00D5468E" w:rsidP="00BE106A">
            <w:pPr>
              <w:jc w:val="center"/>
              <w:rPr>
                <w:rFonts w:cs="Times New Roman"/>
                <w:b/>
                <w:bCs/>
                <w:noProof w:val="0"/>
                <w:sz w:val="18"/>
                <w:szCs w:val="18"/>
              </w:rPr>
            </w:pPr>
            <w:r w:rsidRPr="00BE106A">
              <w:rPr>
                <w:rFonts w:cs="Times New Roman"/>
                <w:b/>
                <w:bCs/>
                <w:noProof w:val="0"/>
                <w:sz w:val="18"/>
                <w:szCs w:val="18"/>
              </w:rPr>
              <w:t>Specific Variables</w:t>
            </w:r>
          </w:p>
        </w:tc>
        <w:tc>
          <w:tcPr>
            <w:tcW w:w="0" w:type="auto"/>
            <w:hideMark/>
          </w:tcPr>
          <w:p w14:paraId="3E4A0F18" w14:textId="69576C34" w:rsidR="00D5468E" w:rsidRPr="00BE106A" w:rsidRDefault="00D5468E" w:rsidP="00BE106A">
            <w:pPr>
              <w:jc w:val="center"/>
              <w:rPr>
                <w:rFonts w:cs="Times New Roman"/>
                <w:b/>
                <w:bCs/>
                <w:noProof w:val="0"/>
                <w:sz w:val="18"/>
                <w:szCs w:val="18"/>
              </w:rPr>
            </w:pPr>
            <w:r w:rsidRPr="00BE106A">
              <w:rPr>
                <w:rFonts w:cs="Times New Roman"/>
                <w:b/>
                <w:bCs/>
                <w:noProof w:val="0"/>
                <w:sz w:val="18"/>
                <w:szCs w:val="18"/>
              </w:rPr>
              <w:t>Typical Ranges (Calibrated from Literature)</w:t>
            </w:r>
          </w:p>
        </w:tc>
        <w:tc>
          <w:tcPr>
            <w:tcW w:w="0" w:type="auto"/>
            <w:hideMark/>
          </w:tcPr>
          <w:p w14:paraId="3A31D9A5" w14:textId="77777777" w:rsidR="00D5468E" w:rsidRPr="00BE106A" w:rsidRDefault="00D5468E" w:rsidP="00BE106A">
            <w:pPr>
              <w:jc w:val="center"/>
              <w:rPr>
                <w:rFonts w:cs="Times New Roman"/>
                <w:b/>
                <w:bCs/>
                <w:noProof w:val="0"/>
                <w:sz w:val="18"/>
                <w:szCs w:val="18"/>
              </w:rPr>
            </w:pPr>
            <w:r w:rsidRPr="00BE106A">
              <w:rPr>
                <w:rFonts w:cs="Times New Roman"/>
                <w:b/>
                <w:bCs/>
                <w:noProof w:val="0"/>
                <w:sz w:val="18"/>
                <w:szCs w:val="18"/>
              </w:rPr>
              <w:t>Example Sources</w:t>
            </w:r>
          </w:p>
        </w:tc>
      </w:tr>
      <w:tr w:rsidR="00D5468E" w:rsidRPr="00BE106A" w14:paraId="18E4B48C" w14:textId="77777777" w:rsidTr="00BE106A">
        <w:trPr>
          <w:jc w:val="center"/>
        </w:trPr>
        <w:tc>
          <w:tcPr>
            <w:tcW w:w="0" w:type="auto"/>
            <w:hideMark/>
          </w:tcPr>
          <w:p w14:paraId="70719888" w14:textId="77777777" w:rsidR="00D5468E" w:rsidRPr="00BE106A" w:rsidRDefault="00D5468E" w:rsidP="00BE106A">
            <w:pPr>
              <w:jc w:val="center"/>
              <w:rPr>
                <w:rFonts w:cs="Times New Roman"/>
                <w:noProof w:val="0"/>
                <w:sz w:val="18"/>
                <w:szCs w:val="18"/>
              </w:rPr>
            </w:pPr>
            <w:r w:rsidRPr="00BE106A">
              <w:rPr>
                <w:rFonts w:cs="Times New Roman"/>
                <w:noProof w:val="0"/>
                <w:sz w:val="18"/>
                <w:szCs w:val="18"/>
              </w:rPr>
              <w:t>Climatic Variables</w:t>
            </w:r>
          </w:p>
        </w:tc>
        <w:tc>
          <w:tcPr>
            <w:tcW w:w="0" w:type="auto"/>
            <w:hideMark/>
          </w:tcPr>
          <w:p w14:paraId="50F59F27" w14:textId="77777777" w:rsidR="00D5468E" w:rsidRPr="00BE106A" w:rsidRDefault="00D5468E" w:rsidP="00BE106A">
            <w:pPr>
              <w:jc w:val="center"/>
              <w:rPr>
                <w:rFonts w:cs="Times New Roman"/>
                <w:noProof w:val="0"/>
                <w:sz w:val="18"/>
                <w:szCs w:val="18"/>
              </w:rPr>
            </w:pPr>
            <w:r w:rsidRPr="00BE106A">
              <w:rPr>
                <w:rFonts w:cs="Times New Roman"/>
                <w:noProof w:val="0"/>
                <w:sz w:val="18"/>
                <w:szCs w:val="18"/>
              </w:rPr>
              <w:t>Temperature, Precipitation, Humidity</w:t>
            </w:r>
          </w:p>
        </w:tc>
        <w:tc>
          <w:tcPr>
            <w:tcW w:w="0" w:type="auto"/>
            <w:hideMark/>
          </w:tcPr>
          <w:p w14:paraId="79E77DD8" w14:textId="77777777" w:rsidR="00D5468E" w:rsidRPr="00BE106A" w:rsidRDefault="00D5468E" w:rsidP="00BE106A">
            <w:pPr>
              <w:jc w:val="center"/>
              <w:rPr>
                <w:rFonts w:cs="Times New Roman"/>
                <w:noProof w:val="0"/>
                <w:sz w:val="18"/>
                <w:szCs w:val="18"/>
              </w:rPr>
            </w:pPr>
            <w:r w:rsidRPr="00BE106A">
              <w:rPr>
                <w:rFonts w:cs="Times New Roman"/>
                <w:noProof w:val="0"/>
                <w:sz w:val="18"/>
                <w:szCs w:val="18"/>
              </w:rPr>
              <w:t>Temperature: 15–35°C; Precipitation: 0–200 mm/month; Humidity: 40–90%</w:t>
            </w:r>
          </w:p>
        </w:tc>
        <w:tc>
          <w:tcPr>
            <w:tcW w:w="0" w:type="auto"/>
            <w:hideMark/>
          </w:tcPr>
          <w:p w14:paraId="40D3D023" w14:textId="77777777" w:rsidR="00D5468E" w:rsidRPr="00BE106A" w:rsidRDefault="00D5468E" w:rsidP="00BE106A">
            <w:pPr>
              <w:jc w:val="center"/>
              <w:rPr>
                <w:rFonts w:cs="Times New Roman"/>
                <w:noProof w:val="0"/>
                <w:sz w:val="18"/>
                <w:szCs w:val="18"/>
              </w:rPr>
            </w:pPr>
            <w:r w:rsidRPr="00BE106A">
              <w:rPr>
                <w:rFonts w:cs="Times New Roman"/>
                <w:noProof w:val="0"/>
                <w:sz w:val="18"/>
                <w:szCs w:val="18"/>
              </w:rPr>
              <w:t>Post-2022 climate models and field studies</w:t>
            </w:r>
          </w:p>
        </w:tc>
      </w:tr>
      <w:tr w:rsidR="00D5468E" w:rsidRPr="00BE106A" w14:paraId="3342197F" w14:textId="77777777" w:rsidTr="00BE106A">
        <w:trPr>
          <w:jc w:val="center"/>
        </w:trPr>
        <w:tc>
          <w:tcPr>
            <w:tcW w:w="0" w:type="auto"/>
            <w:hideMark/>
          </w:tcPr>
          <w:p w14:paraId="18EF0C91" w14:textId="77777777" w:rsidR="00D5468E" w:rsidRPr="00BE106A" w:rsidRDefault="00D5468E" w:rsidP="00BE106A">
            <w:pPr>
              <w:jc w:val="center"/>
              <w:rPr>
                <w:rFonts w:cs="Times New Roman"/>
                <w:noProof w:val="0"/>
                <w:sz w:val="18"/>
                <w:szCs w:val="18"/>
              </w:rPr>
            </w:pPr>
            <w:r w:rsidRPr="00BE106A">
              <w:rPr>
                <w:rFonts w:cs="Times New Roman"/>
                <w:noProof w:val="0"/>
                <w:sz w:val="18"/>
                <w:szCs w:val="18"/>
              </w:rPr>
              <w:t>Soil and Crop Parameters</w:t>
            </w:r>
          </w:p>
        </w:tc>
        <w:tc>
          <w:tcPr>
            <w:tcW w:w="0" w:type="auto"/>
            <w:hideMark/>
          </w:tcPr>
          <w:p w14:paraId="25C1E8E0" w14:textId="77777777" w:rsidR="00D5468E" w:rsidRPr="00BE106A" w:rsidRDefault="00D5468E" w:rsidP="00BE106A">
            <w:pPr>
              <w:jc w:val="center"/>
              <w:rPr>
                <w:rFonts w:cs="Times New Roman"/>
                <w:noProof w:val="0"/>
                <w:sz w:val="18"/>
                <w:szCs w:val="18"/>
              </w:rPr>
            </w:pPr>
            <w:r w:rsidRPr="00BE106A">
              <w:rPr>
                <w:rFonts w:cs="Times New Roman"/>
                <w:noProof w:val="0"/>
                <w:sz w:val="18"/>
                <w:szCs w:val="18"/>
              </w:rPr>
              <w:t>Soil Moisture, Nutrient Availability, Stress Indices</w:t>
            </w:r>
          </w:p>
        </w:tc>
        <w:tc>
          <w:tcPr>
            <w:tcW w:w="0" w:type="auto"/>
            <w:hideMark/>
          </w:tcPr>
          <w:p w14:paraId="1B0F96D2" w14:textId="77777777" w:rsidR="00D5468E" w:rsidRPr="00BE106A" w:rsidRDefault="00D5468E" w:rsidP="00BE106A">
            <w:pPr>
              <w:jc w:val="center"/>
              <w:rPr>
                <w:rFonts w:cs="Times New Roman"/>
                <w:noProof w:val="0"/>
                <w:sz w:val="18"/>
                <w:szCs w:val="18"/>
              </w:rPr>
            </w:pPr>
            <w:r w:rsidRPr="00BE106A">
              <w:rPr>
                <w:rFonts w:cs="Times New Roman"/>
                <w:noProof w:val="0"/>
                <w:sz w:val="18"/>
                <w:szCs w:val="18"/>
              </w:rPr>
              <w:t>Soil Moisture: 10–80%; Nutrients (N/P/K): 50–300 kg/ha; Stress Index: 0–1</w:t>
            </w:r>
          </w:p>
        </w:tc>
        <w:tc>
          <w:tcPr>
            <w:tcW w:w="0" w:type="auto"/>
            <w:hideMark/>
          </w:tcPr>
          <w:p w14:paraId="4019A7AB" w14:textId="77777777" w:rsidR="00D5468E" w:rsidRPr="00BE106A" w:rsidRDefault="00D5468E" w:rsidP="00BE106A">
            <w:pPr>
              <w:jc w:val="center"/>
              <w:rPr>
                <w:rFonts w:cs="Times New Roman"/>
                <w:noProof w:val="0"/>
                <w:sz w:val="18"/>
                <w:szCs w:val="18"/>
              </w:rPr>
            </w:pPr>
            <w:r w:rsidRPr="00BE106A">
              <w:rPr>
                <w:rFonts w:cs="Times New Roman"/>
                <w:noProof w:val="0"/>
                <w:sz w:val="18"/>
                <w:szCs w:val="18"/>
              </w:rPr>
              <w:t>Soil sensor calibrations and crop stress reports</w:t>
            </w:r>
          </w:p>
        </w:tc>
      </w:tr>
      <w:tr w:rsidR="00D5468E" w:rsidRPr="00BE106A" w14:paraId="34D2D810" w14:textId="77777777" w:rsidTr="00BE106A">
        <w:trPr>
          <w:jc w:val="center"/>
        </w:trPr>
        <w:tc>
          <w:tcPr>
            <w:tcW w:w="0" w:type="auto"/>
            <w:hideMark/>
          </w:tcPr>
          <w:p w14:paraId="09D8F6D4" w14:textId="77777777" w:rsidR="00D5468E" w:rsidRPr="00BE106A" w:rsidRDefault="00D5468E" w:rsidP="00BE106A">
            <w:pPr>
              <w:jc w:val="center"/>
              <w:rPr>
                <w:rFonts w:cs="Times New Roman"/>
                <w:noProof w:val="0"/>
                <w:sz w:val="18"/>
                <w:szCs w:val="18"/>
              </w:rPr>
            </w:pPr>
            <w:r w:rsidRPr="00BE106A">
              <w:rPr>
                <w:rFonts w:cs="Times New Roman"/>
                <w:noProof w:val="0"/>
                <w:sz w:val="18"/>
                <w:szCs w:val="18"/>
              </w:rPr>
              <w:t>Operational Variables</w:t>
            </w:r>
          </w:p>
        </w:tc>
        <w:tc>
          <w:tcPr>
            <w:tcW w:w="0" w:type="auto"/>
            <w:hideMark/>
          </w:tcPr>
          <w:p w14:paraId="6381E6C0" w14:textId="77777777" w:rsidR="00D5468E" w:rsidRPr="00BE106A" w:rsidRDefault="00D5468E" w:rsidP="00BE106A">
            <w:pPr>
              <w:jc w:val="center"/>
              <w:rPr>
                <w:rFonts w:cs="Times New Roman"/>
                <w:noProof w:val="0"/>
                <w:sz w:val="18"/>
                <w:szCs w:val="18"/>
              </w:rPr>
            </w:pPr>
            <w:r w:rsidRPr="00BE106A">
              <w:rPr>
                <w:rFonts w:cs="Times New Roman"/>
                <w:noProof w:val="0"/>
                <w:sz w:val="18"/>
                <w:szCs w:val="18"/>
              </w:rPr>
              <w:t>Irrigation Frequency, Storage Conditions, Processing Energy Use</w:t>
            </w:r>
          </w:p>
        </w:tc>
        <w:tc>
          <w:tcPr>
            <w:tcW w:w="0" w:type="auto"/>
            <w:hideMark/>
          </w:tcPr>
          <w:p w14:paraId="097E3563" w14:textId="77777777" w:rsidR="00D5468E" w:rsidRPr="00BE106A" w:rsidRDefault="00D5468E" w:rsidP="00BE106A">
            <w:pPr>
              <w:jc w:val="center"/>
              <w:rPr>
                <w:rFonts w:cs="Times New Roman"/>
                <w:noProof w:val="0"/>
                <w:sz w:val="18"/>
                <w:szCs w:val="18"/>
              </w:rPr>
            </w:pPr>
            <w:r w:rsidRPr="00BE106A">
              <w:rPr>
                <w:rFonts w:cs="Times New Roman"/>
                <w:noProof w:val="0"/>
                <w:sz w:val="18"/>
                <w:szCs w:val="18"/>
              </w:rPr>
              <w:t>Irrigation: 1–7 days; Storage Temp: 0–25°C; Energy: 50–500 kWh/ha</w:t>
            </w:r>
          </w:p>
        </w:tc>
        <w:tc>
          <w:tcPr>
            <w:tcW w:w="0" w:type="auto"/>
            <w:hideMark/>
          </w:tcPr>
          <w:p w14:paraId="49D2BE14" w14:textId="77777777" w:rsidR="00D5468E" w:rsidRPr="00BE106A" w:rsidRDefault="00D5468E" w:rsidP="00BE106A">
            <w:pPr>
              <w:jc w:val="center"/>
              <w:rPr>
                <w:rFonts w:cs="Times New Roman"/>
                <w:noProof w:val="0"/>
                <w:sz w:val="18"/>
                <w:szCs w:val="18"/>
              </w:rPr>
            </w:pPr>
            <w:r w:rsidRPr="00BE106A">
              <w:rPr>
                <w:rFonts w:cs="Times New Roman"/>
                <w:noProof w:val="0"/>
                <w:sz w:val="18"/>
                <w:szCs w:val="18"/>
              </w:rPr>
              <w:t>Empirical operational data from precision agriculture trials</w:t>
            </w:r>
          </w:p>
        </w:tc>
      </w:tr>
    </w:tbl>
    <w:p w14:paraId="0341F1A7" w14:textId="17E9A7BA" w:rsidR="00BE106A" w:rsidRPr="00E77347" w:rsidRDefault="00BE106A" w:rsidP="00D5468E">
      <w:pPr>
        <w:jc w:val="both"/>
        <w:rPr>
          <w:rFonts w:asciiTheme="majorBidi" w:hAnsiTheme="majorBidi" w:cstheme="majorBidi"/>
          <w:sz w:val="22"/>
          <w:szCs w:val="22"/>
        </w:rPr>
      </w:pPr>
    </w:p>
    <w:p w14:paraId="0DD43C12" w14:textId="35EA4F45" w:rsidR="00D5468E" w:rsidRPr="00BE106A" w:rsidRDefault="00D5468E" w:rsidP="00D5468E">
      <w:pPr>
        <w:jc w:val="both"/>
        <w:rPr>
          <w:rFonts w:asciiTheme="majorBidi" w:hAnsiTheme="majorBidi" w:cstheme="majorBidi"/>
          <w:i/>
          <w:iCs/>
        </w:rPr>
      </w:pPr>
      <w:r w:rsidRPr="00BE106A">
        <w:rPr>
          <w:rFonts w:asciiTheme="majorBidi" w:hAnsiTheme="majorBidi" w:cstheme="majorBidi"/>
          <w:i/>
          <w:iCs/>
        </w:rPr>
        <w:t>3.4 AI Model Design and Algorithms</w:t>
      </w:r>
    </w:p>
    <w:p w14:paraId="22113C35" w14:textId="52847BAB" w:rsidR="00D5468E" w:rsidRPr="00BE106A" w:rsidRDefault="00D5468E" w:rsidP="00D5468E">
      <w:pPr>
        <w:jc w:val="both"/>
        <w:rPr>
          <w:rFonts w:asciiTheme="majorBidi" w:hAnsiTheme="majorBidi" w:cstheme="majorBidi"/>
        </w:rPr>
      </w:pPr>
      <w:r w:rsidRPr="00BE106A">
        <w:rPr>
          <w:rFonts w:asciiTheme="majorBidi" w:hAnsiTheme="majorBidi" w:cstheme="majorBidi"/>
        </w:rPr>
        <w:t>3.4.1 Predictive Models</w:t>
      </w:r>
    </w:p>
    <w:p w14:paraId="642C4E29" w14:textId="1911F5A5" w:rsidR="00B24FCB" w:rsidRDefault="00D5468E" w:rsidP="00D5468E">
      <w:pPr>
        <w:jc w:val="both"/>
        <w:rPr>
          <w:rFonts w:asciiTheme="majorBidi" w:hAnsiTheme="majorBidi" w:cstheme="majorBidi"/>
        </w:rPr>
      </w:pPr>
      <w:r w:rsidRPr="00BE106A">
        <w:rPr>
          <w:rFonts w:asciiTheme="majorBidi" w:hAnsiTheme="majorBidi" w:cstheme="majorBidi"/>
        </w:rPr>
        <w:t>Supervised ML models are employed for yield prediction, climate risk forecasting, and spoilage probability estimation [</w:t>
      </w:r>
      <w:r w:rsidR="00751828">
        <w:rPr>
          <w:rFonts w:asciiTheme="majorBidi" w:hAnsiTheme="majorBidi" w:cstheme="majorBidi"/>
        </w:rPr>
        <w:t>11</w:t>
      </w:r>
      <w:r w:rsidRPr="00BE106A">
        <w:rPr>
          <w:rFonts w:asciiTheme="majorBidi" w:hAnsiTheme="majorBidi" w:cstheme="majorBidi"/>
        </w:rPr>
        <w:t xml:space="preserve">]. Random forest and LSTM architectures are selected due to their robustness in handling non-linear relationships </w:t>
      </w:r>
    </w:p>
    <w:p w14:paraId="51C93A78" w14:textId="77777777" w:rsidR="00B24FCB" w:rsidRDefault="00B24FCB" w:rsidP="00D5468E">
      <w:pPr>
        <w:jc w:val="both"/>
        <w:rPr>
          <w:rFonts w:asciiTheme="majorBidi" w:hAnsiTheme="majorBidi" w:cstheme="majorBidi"/>
        </w:rPr>
      </w:pPr>
    </w:p>
    <w:p w14:paraId="145AEF09" w14:textId="77777777" w:rsidR="00B24FCB" w:rsidRDefault="00B24FCB" w:rsidP="00D5468E">
      <w:pPr>
        <w:jc w:val="both"/>
        <w:rPr>
          <w:rFonts w:asciiTheme="majorBidi" w:hAnsiTheme="majorBidi" w:cstheme="majorBidi"/>
        </w:rPr>
      </w:pPr>
    </w:p>
    <w:p w14:paraId="41A60725" w14:textId="7F90EB95" w:rsidR="00D5468E" w:rsidRPr="00B24FCB" w:rsidRDefault="00D5468E" w:rsidP="00B24FCB">
      <w:pPr>
        <w:jc w:val="both"/>
        <w:rPr>
          <w:rFonts w:asciiTheme="majorBidi" w:hAnsiTheme="majorBidi" w:cstheme="majorBidi"/>
        </w:rPr>
      </w:pPr>
      <w:r w:rsidRPr="00BE106A">
        <w:rPr>
          <w:rFonts w:asciiTheme="majorBidi" w:hAnsiTheme="majorBidi" w:cstheme="majorBidi"/>
        </w:rPr>
        <w:t>and temporal dependencies [18]. Model training minimizes prediction error using mean squared error (MSE) and root mean squared error (RMSE) metrics [19].</w:t>
      </w:r>
    </w:p>
    <w:p w14:paraId="1FE6D3D9" w14:textId="77777777" w:rsidR="002A4D74" w:rsidRDefault="002A4D74" w:rsidP="00D5468E">
      <w:pPr>
        <w:jc w:val="both"/>
        <w:rPr>
          <w:rFonts w:asciiTheme="majorBidi" w:hAnsiTheme="majorBidi" w:cstheme="majorBidi"/>
          <w:i/>
          <w:iCs/>
        </w:rPr>
      </w:pPr>
    </w:p>
    <w:p w14:paraId="196CF142" w14:textId="48592B81" w:rsidR="00D5468E" w:rsidRPr="00BE106A" w:rsidRDefault="00D5468E" w:rsidP="00D5468E">
      <w:pPr>
        <w:jc w:val="both"/>
        <w:rPr>
          <w:rFonts w:asciiTheme="majorBidi" w:hAnsiTheme="majorBidi" w:cstheme="majorBidi"/>
          <w:i/>
          <w:iCs/>
        </w:rPr>
      </w:pPr>
      <w:r w:rsidRPr="00BE106A">
        <w:rPr>
          <w:rFonts w:asciiTheme="majorBidi" w:hAnsiTheme="majorBidi" w:cstheme="majorBidi"/>
          <w:i/>
          <w:iCs/>
        </w:rPr>
        <w:t>3.4.2 Classification Models</w:t>
      </w:r>
    </w:p>
    <w:p w14:paraId="03702A27" w14:textId="706DFD55" w:rsidR="00D5468E" w:rsidRPr="00BE106A" w:rsidRDefault="00D5468E" w:rsidP="00D5468E">
      <w:pPr>
        <w:jc w:val="both"/>
        <w:rPr>
          <w:rFonts w:asciiTheme="majorBidi" w:hAnsiTheme="majorBidi" w:cstheme="majorBidi"/>
        </w:rPr>
      </w:pPr>
      <w:r w:rsidRPr="00BE106A">
        <w:rPr>
          <w:rFonts w:asciiTheme="majorBidi" w:hAnsiTheme="majorBidi" w:cstheme="majorBidi"/>
        </w:rPr>
        <w:t>CNN-based models process multispectral image data for disease and contamination detection [20]. Model performance is evaluated using accuracy, precision, recall, and F1-score to ensure balanced assessment under class imbalance conditions [</w:t>
      </w:r>
      <w:r w:rsidR="00751828">
        <w:rPr>
          <w:rFonts w:asciiTheme="majorBidi" w:hAnsiTheme="majorBidi" w:cstheme="majorBidi"/>
        </w:rPr>
        <w:t>14</w:t>
      </w:r>
      <w:r w:rsidRPr="00BE106A">
        <w:rPr>
          <w:rFonts w:asciiTheme="majorBidi" w:hAnsiTheme="majorBidi" w:cstheme="majorBidi"/>
        </w:rPr>
        <w:t>].</w:t>
      </w:r>
    </w:p>
    <w:p w14:paraId="010DBDFD" w14:textId="77777777" w:rsidR="00D5468E" w:rsidRPr="00E77347" w:rsidRDefault="00D5468E" w:rsidP="00D5468E">
      <w:pPr>
        <w:jc w:val="both"/>
        <w:rPr>
          <w:rFonts w:asciiTheme="majorBidi" w:hAnsiTheme="majorBidi" w:cstheme="majorBidi"/>
          <w:sz w:val="22"/>
          <w:szCs w:val="22"/>
        </w:rPr>
      </w:pPr>
    </w:p>
    <w:p w14:paraId="073E3FA5" w14:textId="49A3690D" w:rsidR="00D5468E" w:rsidRPr="00BE106A" w:rsidRDefault="00D5468E" w:rsidP="00D5468E">
      <w:pPr>
        <w:jc w:val="both"/>
        <w:rPr>
          <w:rFonts w:asciiTheme="majorBidi" w:hAnsiTheme="majorBidi" w:cstheme="majorBidi"/>
          <w:i/>
          <w:iCs/>
        </w:rPr>
      </w:pPr>
      <w:r w:rsidRPr="00BE106A">
        <w:rPr>
          <w:rFonts w:asciiTheme="majorBidi" w:hAnsiTheme="majorBidi" w:cstheme="majorBidi"/>
          <w:i/>
          <w:iCs/>
        </w:rPr>
        <w:t>3.4.3 Optimization and Control</w:t>
      </w:r>
    </w:p>
    <w:p w14:paraId="7A1C6146" w14:textId="24C32CB3" w:rsidR="00D5468E" w:rsidRPr="00BE106A" w:rsidRDefault="00D5468E" w:rsidP="00D5468E">
      <w:pPr>
        <w:jc w:val="both"/>
        <w:rPr>
          <w:rFonts w:asciiTheme="majorBidi" w:hAnsiTheme="majorBidi" w:cstheme="majorBidi"/>
        </w:rPr>
      </w:pPr>
      <w:r w:rsidRPr="00BE106A">
        <w:rPr>
          <w:rFonts w:asciiTheme="majorBidi" w:hAnsiTheme="majorBidi" w:cstheme="majorBidi"/>
        </w:rPr>
        <w:t>Reinforcement learning agents are simulated for adaptive irrigation and resource allocation, learning optimal policies under climate uncertainty [</w:t>
      </w:r>
      <w:r w:rsidR="00751828">
        <w:rPr>
          <w:rFonts w:asciiTheme="majorBidi" w:hAnsiTheme="majorBidi" w:cstheme="majorBidi"/>
        </w:rPr>
        <w:t>12</w:t>
      </w:r>
      <w:r w:rsidRPr="00BE106A">
        <w:rPr>
          <w:rFonts w:asciiTheme="majorBidi" w:hAnsiTheme="majorBidi" w:cstheme="majorBidi"/>
        </w:rPr>
        <w:t>]. Reward functions integrate productivity, resource efficiency, and environmental impact indicators [23].</w:t>
      </w:r>
    </w:p>
    <w:p w14:paraId="2DCCB8F3" w14:textId="79F1B493" w:rsidR="00D5468E" w:rsidRPr="00E77347" w:rsidRDefault="00D5468E" w:rsidP="00D5468E">
      <w:pPr>
        <w:jc w:val="both"/>
        <w:rPr>
          <w:rFonts w:asciiTheme="majorBidi" w:hAnsiTheme="majorBidi" w:cstheme="majorBidi"/>
          <w:sz w:val="22"/>
          <w:szCs w:val="22"/>
        </w:rPr>
      </w:pPr>
    </w:p>
    <w:p w14:paraId="2803834B" w14:textId="6CA57554" w:rsidR="002A4D74" w:rsidRPr="00B24FCB" w:rsidRDefault="00B24FCB" w:rsidP="00B24FCB">
      <w:pPr>
        <w:jc w:val="both"/>
        <w:rPr>
          <w:rFonts w:asciiTheme="majorBidi" w:hAnsiTheme="majorBidi" w:cstheme="majorBidi"/>
          <w:b/>
          <w:bCs/>
          <w:sz w:val="18"/>
          <w:szCs w:val="18"/>
        </w:rPr>
      </w:pPr>
      <w:r w:rsidRPr="00BE106A">
        <w:rPr>
          <w:rFonts w:asciiTheme="majorBidi" w:hAnsiTheme="majorBidi" w:cstheme="majorBidi"/>
          <w:b/>
          <w:bCs/>
          <w:sz w:val="18"/>
          <w:szCs w:val="18"/>
        </w:rPr>
        <w:drawing>
          <wp:anchor distT="0" distB="0" distL="114300" distR="114300" simplePos="0" relativeHeight="251661312" behindDoc="0" locked="0" layoutInCell="1" allowOverlap="1" wp14:anchorId="2122EA88" wp14:editId="1FC85D1D">
            <wp:simplePos x="0" y="0"/>
            <wp:positionH relativeFrom="column">
              <wp:posOffset>327660</wp:posOffset>
            </wp:positionH>
            <wp:positionV relativeFrom="page">
              <wp:posOffset>3257550</wp:posOffset>
            </wp:positionV>
            <wp:extent cx="5048250" cy="3059430"/>
            <wp:effectExtent l="0" t="0" r="0" b="762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 cstate="print">
                      <a:alphaModFix/>
                      <a:extLst>
                        <a:ext uri="{BEBA8EAE-BF5A-486C-A8C5-ECC9F3942E4B}">
                          <a14:imgProps xmlns:a14="http://schemas.microsoft.com/office/drawing/2010/main">
                            <a14:imgLayer r:embed="rId13">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048250" cy="3059430"/>
                    </a:xfrm>
                    <a:prstGeom prst="rect">
                      <a:avLst/>
                    </a:prstGeom>
                  </pic:spPr>
                </pic:pic>
              </a:graphicData>
            </a:graphic>
            <wp14:sizeRelH relativeFrom="margin">
              <wp14:pctWidth>0</wp14:pctWidth>
            </wp14:sizeRelH>
            <wp14:sizeRelV relativeFrom="margin">
              <wp14:pctHeight>0</wp14:pctHeight>
            </wp14:sizeRelV>
          </wp:anchor>
        </w:drawing>
      </w:r>
      <w:r w:rsidR="00D5468E" w:rsidRPr="00BE106A">
        <w:rPr>
          <w:rFonts w:asciiTheme="majorBidi" w:hAnsiTheme="majorBidi" w:cstheme="majorBidi"/>
          <w:b/>
          <w:bCs/>
          <w:sz w:val="18"/>
          <w:szCs w:val="18"/>
        </w:rPr>
        <w:t xml:space="preserve">Figure </w:t>
      </w:r>
      <w:r w:rsidR="00BE106A" w:rsidRPr="00BE106A">
        <w:rPr>
          <w:rFonts w:asciiTheme="majorBidi" w:hAnsiTheme="majorBidi" w:cstheme="majorBidi"/>
          <w:b/>
          <w:bCs/>
          <w:sz w:val="18"/>
          <w:szCs w:val="18"/>
        </w:rPr>
        <w:t>3:</w:t>
      </w:r>
      <w:r w:rsidR="00D5468E" w:rsidRPr="00BE106A">
        <w:rPr>
          <w:rFonts w:asciiTheme="majorBidi" w:hAnsiTheme="majorBidi" w:cstheme="majorBidi"/>
          <w:b/>
          <w:bCs/>
          <w:sz w:val="18"/>
          <w:szCs w:val="18"/>
        </w:rPr>
        <w:t>AI model workflow integrating prediction, classification, and optimization modules.</w:t>
      </w:r>
    </w:p>
    <w:p w14:paraId="460416A4" w14:textId="1CF96E27" w:rsidR="00D5468E" w:rsidRPr="00BE106A" w:rsidRDefault="00D5468E" w:rsidP="00D5468E">
      <w:pPr>
        <w:jc w:val="both"/>
        <w:rPr>
          <w:rFonts w:asciiTheme="majorBidi" w:hAnsiTheme="majorBidi" w:cstheme="majorBidi"/>
          <w:i/>
          <w:iCs/>
        </w:rPr>
      </w:pPr>
      <w:r w:rsidRPr="00BE106A">
        <w:rPr>
          <w:rFonts w:asciiTheme="majorBidi" w:hAnsiTheme="majorBidi" w:cstheme="majorBidi"/>
          <w:i/>
          <w:iCs/>
        </w:rPr>
        <w:t>3.5 Evaluation Metrics</w:t>
      </w:r>
    </w:p>
    <w:p w14:paraId="6C11E828" w14:textId="4E55CC66" w:rsidR="00D5468E" w:rsidRPr="00BE106A" w:rsidRDefault="00D5468E" w:rsidP="002A4D74">
      <w:pPr>
        <w:jc w:val="both"/>
        <w:rPr>
          <w:rFonts w:asciiTheme="majorBidi" w:hAnsiTheme="majorBidi" w:cstheme="majorBidi"/>
        </w:rPr>
      </w:pPr>
      <w:r w:rsidRPr="00BE106A">
        <w:rPr>
          <w:rFonts w:asciiTheme="majorBidi" w:hAnsiTheme="majorBidi" w:cstheme="majorBidi"/>
        </w:rPr>
        <w:t>To address the lack of standardized assessment frameworks, this study employs multi-dimensional evaluation metrics aligned with resilience, sustainability, and food safety objectives [24]:</w:t>
      </w:r>
    </w:p>
    <w:p w14:paraId="681585C6" w14:textId="1B869354" w:rsidR="00D5468E" w:rsidRPr="002A4D74" w:rsidRDefault="00D5468E" w:rsidP="002A4D74">
      <w:pPr>
        <w:pStyle w:val="ListParagraph"/>
        <w:numPr>
          <w:ilvl w:val="0"/>
          <w:numId w:val="18"/>
        </w:numPr>
        <w:jc w:val="both"/>
        <w:rPr>
          <w:rFonts w:asciiTheme="majorBidi" w:hAnsiTheme="majorBidi" w:cstheme="majorBidi"/>
        </w:rPr>
      </w:pPr>
      <w:r w:rsidRPr="00BE106A">
        <w:rPr>
          <w:rFonts w:asciiTheme="majorBidi" w:hAnsiTheme="majorBidi" w:cstheme="majorBidi"/>
        </w:rPr>
        <w:t>Climate resilience metrics: yield stability, recovery time after climate shocks [25];</w:t>
      </w:r>
    </w:p>
    <w:p w14:paraId="263972A3" w14:textId="09587567" w:rsidR="00D5468E" w:rsidRPr="002A4D74" w:rsidRDefault="00D5468E" w:rsidP="002A4D74">
      <w:pPr>
        <w:pStyle w:val="ListParagraph"/>
        <w:numPr>
          <w:ilvl w:val="0"/>
          <w:numId w:val="18"/>
        </w:numPr>
        <w:jc w:val="both"/>
        <w:rPr>
          <w:rFonts w:asciiTheme="majorBidi" w:hAnsiTheme="majorBidi" w:cstheme="majorBidi"/>
        </w:rPr>
      </w:pPr>
      <w:r w:rsidRPr="00BE106A">
        <w:rPr>
          <w:rFonts w:asciiTheme="majorBidi" w:hAnsiTheme="majorBidi" w:cstheme="majorBidi"/>
        </w:rPr>
        <w:t>Sustainability metrics: water-use efficiency, energy intensity, waste reduction [</w:t>
      </w:r>
      <w:r w:rsidR="00751828">
        <w:rPr>
          <w:rFonts w:asciiTheme="majorBidi" w:hAnsiTheme="majorBidi" w:cstheme="majorBidi"/>
        </w:rPr>
        <w:t>12</w:t>
      </w:r>
      <w:r w:rsidRPr="00BE106A">
        <w:rPr>
          <w:rFonts w:asciiTheme="majorBidi" w:hAnsiTheme="majorBidi" w:cstheme="majorBidi"/>
        </w:rPr>
        <w:t>];</w:t>
      </w:r>
    </w:p>
    <w:p w14:paraId="787CADDF" w14:textId="1F4D4D9E" w:rsidR="00D5468E" w:rsidRPr="002A4D74" w:rsidRDefault="00D5468E" w:rsidP="002A4D74">
      <w:pPr>
        <w:pStyle w:val="ListParagraph"/>
        <w:numPr>
          <w:ilvl w:val="0"/>
          <w:numId w:val="18"/>
        </w:numPr>
        <w:jc w:val="both"/>
        <w:rPr>
          <w:rFonts w:asciiTheme="majorBidi" w:hAnsiTheme="majorBidi" w:cstheme="majorBidi"/>
        </w:rPr>
      </w:pPr>
      <w:r w:rsidRPr="00BE106A">
        <w:rPr>
          <w:rFonts w:asciiTheme="majorBidi" w:hAnsiTheme="majorBidi" w:cstheme="majorBidi"/>
        </w:rPr>
        <w:t>Food safety metrics: spoilage detection accuracy, contamination risk reduction [27].</w:t>
      </w:r>
    </w:p>
    <w:p w14:paraId="4206BC92" w14:textId="4A9BEC0B" w:rsidR="002A4D74" w:rsidRDefault="00D5468E" w:rsidP="00B24FCB">
      <w:pPr>
        <w:pStyle w:val="ListParagraph"/>
        <w:numPr>
          <w:ilvl w:val="0"/>
          <w:numId w:val="18"/>
        </w:numPr>
        <w:jc w:val="both"/>
        <w:rPr>
          <w:rFonts w:asciiTheme="majorBidi" w:hAnsiTheme="majorBidi" w:cstheme="majorBidi"/>
        </w:rPr>
      </w:pPr>
      <w:r w:rsidRPr="00BE106A">
        <w:rPr>
          <w:rFonts w:asciiTheme="majorBidi" w:hAnsiTheme="majorBidi" w:cstheme="majorBidi"/>
        </w:rPr>
        <w:t>Metrics are normalized and aggregated using a weighted composite index to facilitate cross-scenario comparison [</w:t>
      </w:r>
      <w:r w:rsidR="00751828">
        <w:rPr>
          <w:rFonts w:asciiTheme="majorBidi" w:hAnsiTheme="majorBidi" w:cstheme="majorBidi"/>
        </w:rPr>
        <w:t>23</w:t>
      </w:r>
      <w:r w:rsidRPr="00BE106A">
        <w:rPr>
          <w:rFonts w:asciiTheme="majorBidi" w:hAnsiTheme="majorBidi" w:cstheme="majorBidi"/>
        </w:rPr>
        <w:t>].</w:t>
      </w:r>
    </w:p>
    <w:p w14:paraId="415150D1" w14:textId="77777777" w:rsidR="00751828" w:rsidRPr="00B24FCB" w:rsidRDefault="00751828" w:rsidP="00751828">
      <w:pPr>
        <w:pStyle w:val="ListParagraph"/>
        <w:ind w:left="780"/>
        <w:jc w:val="both"/>
        <w:rPr>
          <w:rFonts w:asciiTheme="majorBidi" w:hAnsiTheme="majorBidi" w:cstheme="majorBidi"/>
        </w:rPr>
      </w:pPr>
    </w:p>
    <w:p w14:paraId="239660C6" w14:textId="69D5B0D0" w:rsidR="00D5468E" w:rsidRPr="002A4D74" w:rsidRDefault="00D5468E" w:rsidP="002A4D74">
      <w:pPr>
        <w:jc w:val="both"/>
        <w:rPr>
          <w:rFonts w:asciiTheme="majorBidi" w:hAnsiTheme="majorBidi" w:cstheme="majorBidi"/>
          <w:b/>
          <w:bCs/>
          <w:sz w:val="18"/>
          <w:szCs w:val="18"/>
        </w:rPr>
      </w:pPr>
      <w:r w:rsidRPr="002A4D74">
        <w:rPr>
          <w:rFonts w:asciiTheme="majorBidi" w:hAnsiTheme="majorBidi" w:cstheme="majorBidi"/>
          <w:b/>
          <w:bCs/>
          <w:sz w:val="18"/>
          <w:szCs w:val="18"/>
        </w:rPr>
        <w:t>Table 4</w:t>
      </w:r>
      <w:r w:rsidR="002A4D74" w:rsidRPr="002A4D74">
        <w:rPr>
          <w:rFonts w:asciiTheme="majorBidi" w:hAnsiTheme="majorBidi" w:cstheme="majorBidi"/>
          <w:b/>
          <w:bCs/>
          <w:sz w:val="18"/>
          <w:szCs w:val="18"/>
        </w:rPr>
        <w:t xml:space="preserve">: </w:t>
      </w:r>
      <w:r w:rsidRPr="002A4D74">
        <w:rPr>
          <w:rFonts w:asciiTheme="majorBidi" w:hAnsiTheme="majorBidi" w:cstheme="majorBidi"/>
          <w:b/>
          <w:bCs/>
          <w:sz w:val="18"/>
          <w:szCs w:val="18"/>
        </w:rPr>
        <w:t>Evaluation metrics and definitions used in the simulation.</w:t>
      </w:r>
    </w:p>
    <w:tbl>
      <w:tblPr>
        <w:tblStyle w:val="TableGrid"/>
        <w:tblW w:w="0" w:type="auto"/>
        <w:tblLook w:val="04A0" w:firstRow="1" w:lastRow="0" w:firstColumn="1" w:lastColumn="0" w:noHBand="0" w:noVBand="1"/>
      </w:tblPr>
      <w:tblGrid>
        <w:gridCol w:w="1473"/>
        <w:gridCol w:w="2114"/>
        <w:gridCol w:w="2899"/>
        <w:gridCol w:w="2859"/>
      </w:tblGrid>
      <w:tr w:rsidR="00D5468E" w:rsidRPr="00B24FCB" w14:paraId="6EBA0386" w14:textId="77777777" w:rsidTr="00A25402">
        <w:tc>
          <w:tcPr>
            <w:tcW w:w="0" w:type="auto"/>
            <w:hideMark/>
          </w:tcPr>
          <w:p w14:paraId="5B0B49BF" w14:textId="77777777" w:rsidR="00D5468E" w:rsidRPr="00B24FCB" w:rsidRDefault="00D5468E" w:rsidP="00B24FCB">
            <w:pPr>
              <w:jc w:val="center"/>
              <w:rPr>
                <w:rFonts w:cs="Times New Roman"/>
                <w:b/>
                <w:bCs/>
                <w:noProof w:val="0"/>
                <w:sz w:val="18"/>
                <w:szCs w:val="18"/>
              </w:rPr>
            </w:pPr>
            <w:r w:rsidRPr="00B24FCB">
              <w:rPr>
                <w:rFonts w:cs="Times New Roman"/>
                <w:b/>
                <w:bCs/>
                <w:noProof w:val="0"/>
                <w:sz w:val="18"/>
                <w:szCs w:val="18"/>
              </w:rPr>
              <w:t>Category</w:t>
            </w:r>
          </w:p>
        </w:tc>
        <w:tc>
          <w:tcPr>
            <w:tcW w:w="0" w:type="auto"/>
            <w:hideMark/>
          </w:tcPr>
          <w:p w14:paraId="5B18F89B" w14:textId="77777777" w:rsidR="00D5468E" w:rsidRPr="00B24FCB" w:rsidRDefault="00D5468E" w:rsidP="00B24FCB">
            <w:pPr>
              <w:jc w:val="center"/>
              <w:rPr>
                <w:rFonts w:cs="Times New Roman"/>
                <w:b/>
                <w:bCs/>
                <w:noProof w:val="0"/>
                <w:sz w:val="18"/>
                <w:szCs w:val="18"/>
              </w:rPr>
            </w:pPr>
            <w:r w:rsidRPr="00B24FCB">
              <w:rPr>
                <w:rFonts w:cs="Times New Roman"/>
                <w:b/>
                <w:bCs/>
                <w:noProof w:val="0"/>
                <w:sz w:val="18"/>
                <w:szCs w:val="18"/>
              </w:rPr>
              <w:t>Metric</w:t>
            </w:r>
          </w:p>
        </w:tc>
        <w:tc>
          <w:tcPr>
            <w:tcW w:w="0" w:type="auto"/>
            <w:hideMark/>
          </w:tcPr>
          <w:p w14:paraId="68063271" w14:textId="77777777" w:rsidR="00D5468E" w:rsidRPr="00B24FCB" w:rsidRDefault="00D5468E" w:rsidP="00B24FCB">
            <w:pPr>
              <w:jc w:val="center"/>
              <w:rPr>
                <w:rFonts w:cs="Times New Roman"/>
                <w:b/>
                <w:bCs/>
                <w:noProof w:val="0"/>
                <w:sz w:val="18"/>
                <w:szCs w:val="18"/>
              </w:rPr>
            </w:pPr>
            <w:r w:rsidRPr="00B24FCB">
              <w:rPr>
                <w:rFonts w:cs="Times New Roman"/>
                <w:b/>
                <w:bCs/>
                <w:noProof w:val="0"/>
                <w:sz w:val="18"/>
                <w:szCs w:val="18"/>
              </w:rPr>
              <w:t>Definition</w:t>
            </w:r>
          </w:p>
        </w:tc>
        <w:tc>
          <w:tcPr>
            <w:tcW w:w="0" w:type="auto"/>
            <w:hideMark/>
          </w:tcPr>
          <w:p w14:paraId="50C9F49D" w14:textId="77777777" w:rsidR="00D5468E" w:rsidRPr="00B24FCB" w:rsidRDefault="00D5468E" w:rsidP="00B24FCB">
            <w:pPr>
              <w:jc w:val="center"/>
              <w:rPr>
                <w:rFonts w:cs="Times New Roman"/>
                <w:b/>
                <w:bCs/>
                <w:noProof w:val="0"/>
                <w:sz w:val="18"/>
                <w:szCs w:val="18"/>
              </w:rPr>
            </w:pPr>
            <w:r w:rsidRPr="00B24FCB">
              <w:rPr>
                <w:rFonts w:cs="Times New Roman"/>
                <w:b/>
                <w:bCs/>
                <w:noProof w:val="0"/>
                <w:sz w:val="18"/>
                <w:szCs w:val="18"/>
              </w:rPr>
              <w:t>Alignment</w:t>
            </w:r>
          </w:p>
        </w:tc>
      </w:tr>
      <w:tr w:rsidR="00D5468E" w:rsidRPr="00B24FCB" w14:paraId="027CADF5" w14:textId="77777777" w:rsidTr="00A25402">
        <w:tc>
          <w:tcPr>
            <w:tcW w:w="0" w:type="auto"/>
            <w:hideMark/>
          </w:tcPr>
          <w:p w14:paraId="7126195F"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Climate Resilience</w:t>
            </w:r>
          </w:p>
        </w:tc>
        <w:tc>
          <w:tcPr>
            <w:tcW w:w="0" w:type="auto"/>
            <w:hideMark/>
          </w:tcPr>
          <w:p w14:paraId="5DA84EB7"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Yield Stability</w:t>
            </w:r>
          </w:p>
        </w:tc>
        <w:tc>
          <w:tcPr>
            <w:tcW w:w="0" w:type="auto"/>
            <w:hideMark/>
          </w:tcPr>
          <w:p w14:paraId="1CE0B067"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Coefficient of variation in yield across runs</w:t>
            </w:r>
          </w:p>
        </w:tc>
        <w:tc>
          <w:tcPr>
            <w:tcW w:w="0" w:type="auto"/>
            <w:hideMark/>
          </w:tcPr>
          <w:p w14:paraId="72DC24CC"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Lower variation indicates higher resilience</w:t>
            </w:r>
          </w:p>
        </w:tc>
      </w:tr>
      <w:tr w:rsidR="00D5468E" w:rsidRPr="00B24FCB" w14:paraId="1F4B4824" w14:textId="77777777" w:rsidTr="00A25402">
        <w:tc>
          <w:tcPr>
            <w:tcW w:w="0" w:type="auto"/>
            <w:hideMark/>
          </w:tcPr>
          <w:p w14:paraId="042A4F9F"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Climate Resilience</w:t>
            </w:r>
          </w:p>
        </w:tc>
        <w:tc>
          <w:tcPr>
            <w:tcW w:w="0" w:type="auto"/>
            <w:hideMark/>
          </w:tcPr>
          <w:p w14:paraId="663D4268"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Recovery Time After Shocks</w:t>
            </w:r>
          </w:p>
        </w:tc>
        <w:tc>
          <w:tcPr>
            <w:tcW w:w="0" w:type="auto"/>
            <w:hideMark/>
          </w:tcPr>
          <w:p w14:paraId="572970BA"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Cycles to return to pre-shock productivity</w:t>
            </w:r>
          </w:p>
        </w:tc>
        <w:tc>
          <w:tcPr>
            <w:tcW w:w="0" w:type="auto"/>
            <w:hideMark/>
          </w:tcPr>
          <w:p w14:paraId="6BD68222"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Shorter time indicates better adaptation</w:t>
            </w:r>
          </w:p>
        </w:tc>
      </w:tr>
      <w:tr w:rsidR="00D5468E" w:rsidRPr="00B24FCB" w14:paraId="01B561FA" w14:textId="77777777" w:rsidTr="00A25402">
        <w:tc>
          <w:tcPr>
            <w:tcW w:w="0" w:type="auto"/>
            <w:hideMark/>
          </w:tcPr>
          <w:p w14:paraId="261B553C"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Sustainability</w:t>
            </w:r>
          </w:p>
        </w:tc>
        <w:tc>
          <w:tcPr>
            <w:tcW w:w="0" w:type="auto"/>
            <w:hideMark/>
          </w:tcPr>
          <w:p w14:paraId="01A1B591"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Water-Use Efficiency</w:t>
            </w:r>
          </w:p>
        </w:tc>
        <w:tc>
          <w:tcPr>
            <w:tcW w:w="0" w:type="auto"/>
            <w:hideMark/>
          </w:tcPr>
          <w:p w14:paraId="33BF3C31"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Yield per unit water applied</w:t>
            </w:r>
          </w:p>
        </w:tc>
        <w:tc>
          <w:tcPr>
            <w:tcW w:w="0" w:type="auto"/>
            <w:hideMark/>
          </w:tcPr>
          <w:p w14:paraId="4A74E657"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Higher ratio indicates efficiency</w:t>
            </w:r>
          </w:p>
        </w:tc>
      </w:tr>
      <w:tr w:rsidR="00D5468E" w:rsidRPr="00B24FCB" w14:paraId="1A66237C" w14:textId="77777777" w:rsidTr="00A25402">
        <w:tc>
          <w:tcPr>
            <w:tcW w:w="0" w:type="auto"/>
            <w:hideMark/>
          </w:tcPr>
          <w:p w14:paraId="267C5ED5"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Sustainability</w:t>
            </w:r>
          </w:p>
        </w:tc>
        <w:tc>
          <w:tcPr>
            <w:tcW w:w="0" w:type="auto"/>
            <w:hideMark/>
          </w:tcPr>
          <w:p w14:paraId="0C4ECEE7"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Energy Intensity</w:t>
            </w:r>
          </w:p>
        </w:tc>
        <w:tc>
          <w:tcPr>
            <w:tcW w:w="0" w:type="auto"/>
            <w:hideMark/>
          </w:tcPr>
          <w:p w14:paraId="46641CE7"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Energy consumed per unit output</w:t>
            </w:r>
          </w:p>
        </w:tc>
        <w:tc>
          <w:tcPr>
            <w:tcW w:w="0" w:type="auto"/>
            <w:hideMark/>
          </w:tcPr>
          <w:p w14:paraId="09B5B179"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Lower values indicate sustainability</w:t>
            </w:r>
          </w:p>
        </w:tc>
      </w:tr>
      <w:tr w:rsidR="00D5468E" w:rsidRPr="00B24FCB" w14:paraId="5B3D0275" w14:textId="77777777" w:rsidTr="00A25402">
        <w:tc>
          <w:tcPr>
            <w:tcW w:w="0" w:type="auto"/>
            <w:hideMark/>
          </w:tcPr>
          <w:p w14:paraId="5B6C0C2F"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Sustainability</w:t>
            </w:r>
          </w:p>
        </w:tc>
        <w:tc>
          <w:tcPr>
            <w:tcW w:w="0" w:type="auto"/>
            <w:hideMark/>
          </w:tcPr>
          <w:p w14:paraId="5B1C537E"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Waste Reduction</w:t>
            </w:r>
          </w:p>
        </w:tc>
        <w:tc>
          <w:tcPr>
            <w:tcW w:w="0" w:type="auto"/>
            <w:hideMark/>
          </w:tcPr>
          <w:p w14:paraId="68BC029B"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Percentage reduction in spoilage/waste</w:t>
            </w:r>
          </w:p>
        </w:tc>
        <w:tc>
          <w:tcPr>
            <w:tcW w:w="0" w:type="auto"/>
            <w:hideMark/>
          </w:tcPr>
          <w:p w14:paraId="0FBCDB7D"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Higher reduction indicates better performance</w:t>
            </w:r>
          </w:p>
        </w:tc>
      </w:tr>
      <w:tr w:rsidR="00D5468E" w:rsidRPr="00B24FCB" w14:paraId="12EDA574" w14:textId="77777777" w:rsidTr="00A25402">
        <w:tc>
          <w:tcPr>
            <w:tcW w:w="0" w:type="auto"/>
            <w:hideMark/>
          </w:tcPr>
          <w:p w14:paraId="4E94173F"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Food Safety</w:t>
            </w:r>
          </w:p>
        </w:tc>
        <w:tc>
          <w:tcPr>
            <w:tcW w:w="0" w:type="auto"/>
            <w:hideMark/>
          </w:tcPr>
          <w:p w14:paraId="224CB670"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Spoilage Detection Accuracy</w:t>
            </w:r>
          </w:p>
        </w:tc>
        <w:tc>
          <w:tcPr>
            <w:tcW w:w="0" w:type="auto"/>
            <w:hideMark/>
          </w:tcPr>
          <w:p w14:paraId="73FFA566"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Accuracy/F1-score in contamination detection</w:t>
            </w:r>
          </w:p>
        </w:tc>
        <w:tc>
          <w:tcPr>
            <w:tcW w:w="0" w:type="auto"/>
            <w:hideMark/>
          </w:tcPr>
          <w:p w14:paraId="31793B88"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Higher scores indicate reliability</w:t>
            </w:r>
          </w:p>
        </w:tc>
      </w:tr>
      <w:tr w:rsidR="00D5468E" w:rsidRPr="00B24FCB" w14:paraId="08AA1B52" w14:textId="77777777" w:rsidTr="00A25402">
        <w:tc>
          <w:tcPr>
            <w:tcW w:w="0" w:type="auto"/>
            <w:hideMark/>
          </w:tcPr>
          <w:p w14:paraId="41F10CD6"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Food Safety</w:t>
            </w:r>
          </w:p>
        </w:tc>
        <w:tc>
          <w:tcPr>
            <w:tcW w:w="0" w:type="auto"/>
            <w:hideMark/>
          </w:tcPr>
          <w:p w14:paraId="57864256"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Contamination Risk Reduction</w:t>
            </w:r>
          </w:p>
        </w:tc>
        <w:tc>
          <w:tcPr>
            <w:tcW w:w="0" w:type="auto"/>
            <w:hideMark/>
          </w:tcPr>
          <w:p w14:paraId="54ABB9DA" w14:textId="5D3EABFF" w:rsidR="00D5468E" w:rsidRPr="00B24FCB" w:rsidRDefault="00D5468E" w:rsidP="00B24FCB">
            <w:pPr>
              <w:jc w:val="center"/>
              <w:rPr>
                <w:rFonts w:cs="Times New Roman"/>
                <w:noProof w:val="0"/>
                <w:sz w:val="18"/>
                <w:szCs w:val="18"/>
              </w:rPr>
            </w:pPr>
            <w:r w:rsidRPr="00B24FCB">
              <w:rPr>
                <w:rFonts w:cs="Times New Roman"/>
                <w:noProof w:val="0"/>
                <w:sz w:val="18"/>
                <w:szCs w:val="18"/>
              </w:rPr>
              <w:t xml:space="preserve">Probability </w:t>
            </w:r>
            <w:r w:rsidR="002A4D74" w:rsidRPr="00B24FCB">
              <w:rPr>
                <w:rFonts w:cs="Times New Roman"/>
                <w:noProof w:val="0"/>
                <w:sz w:val="18"/>
                <w:szCs w:val="18"/>
              </w:rPr>
              <w:t>decreases</w:t>
            </w:r>
            <w:r w:rsidRPr="00B24FCB">
              <w:rPr>
                <w:rFonts w:cs="Times New Roman"/>
                <w:noProof w:val="0"/>
                <w:sz w:val="18"/>
                <w:szCs w:val="18"/>
              </w:rPr>
              <w:t xml:space="preserve"> in risks</w:t>
            </w:r>
          </w:p>
        </w:tc>
        <w:tc>
          <w:tcPr>
            <w:tcW w:w="0" w:type="auto"/>
            <w:hideMark/>
          </w:tcPr>
          <w:p w14:paraId="5B05CD84"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Greater reduction indicates safety gains</w:t>
            </w:r>
          </w:p>
        </w:tc>
      </w:tr>
    </w:tbl>
    <w:p w14:paraId="00E6CE84" w14:textId="77777777" w:rsidR="00D5468E" w:rsidRPr="00E77347" w:rsidRDefault="00D5468E" w:rsidP="00D5468E">
      <w:pPr>
        <w:jc w:val="both"/>
        <w:rPr>
          <w:rFonts w:asciiTheme="majorBidi" w:hAnsiTheme="majorBidi" w:cstheme="majorBidi"/>
          <w:sz w:val="22"/>
          <w:szCs w:val="22"/>
        </w:rPr>
      </w:pPr>
    </w:p>
    <w:p w14:paraId="318D5A7F" w14:textId="77777777" w:rsidR="00D5468E" w:rsidRPr="00E77347" w:rsidRDefault="00D5468E" w:rsidP="00D5468E">
      <w:pPr>
        <w:jc w:val="both"/>
        <w:rPr>
          <w:rFonts w:asciiTheme="majorBidi" w:hAnsiTheme="majorBidi" w:cstheme="majorBidi"/>
          <w:sz w:val="22"/>
          <w:szCs w:val="22"/>
        </w:rPr>
      </w:pPr>
    </w:p>
    <w:p w14:paraId="16D58AFD" w14:textId="77777777"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3.6 Scenario Design and Simulation Procedure</w:t>
      </w:r>
    </w:p>
    <w:p w14:paraId="0C02E76F" w14:textId="18D1BBF3" w:rsidR="00D5468E" w:rsidRPr="002A4D74" w:rsidRDefault="00D5468E" w:rsidP="002A4D74">
      <w:pPr>
        <w:jc w:val="both"/>
        <w:rPr>
          <w:rFonts w:asciiTheme="majorBidi" w:hAnsiTheme="majorBidi" w:cstheme="majorBidi"/>
        </w:rPr>
      </w:pPr>
      <w:r w:rsidRPr="002A4D74">
        <w:rPr>
          <w:rFonts w:asciiTheme="majorBidi" w:hAnsiTheme="majorBidi" w:cstheme="majorBidi"/>
        </w:rPr>
        <w:t>Three simulation scenarios are constructed to reflect varying climate and operational conditions:</w:t>
      </w:r>
    </w:p>
    <w:p w14:paraId="3E58D6A5" w14:textId="21573C0D" w:rsidR="00D5468E" w:rsidRPr="002A4D74" w:rsidRDefault="00D5468E" w:rsidP="002A4D74">
      <w:pPr>
        <w:pStyle w:val="ListParagraph"/>
        <w:numPr>
          <w:ilvl w:val="0"/>
          <w:numId w:val="22"/>
        </w:numPr>
        <w:jc w:val="both"/>
        <w:rPr>
          <w:rFonts w:asciiTheme="majorBidi" w:hAnsiTheme="majorBidi" w:cstheme="majorBidi"/>
        </w:rPr>
      </w:pPr>
      <w:r w:rsidRPr="002A4D74">
        <w:rPr>
          <w:rFonts w:asciiTheme="majorBidi" w:hAnsiTheme="majorBidi" w:cstheme="majorBidi"/>
        </w:rPr>
        <w:t>Baseline scenario: traditional management without AI intervention [29];</w:t>
      </w:r>
    </w:p>
    <w:p w14:paraId="3F641733" w14:textId="7C7922F3" w:rsidR="00D5468E" w:rsidRPr="002A4D74" w:rsidRDefault="00D5468E" w:rsidP="002A4D74">
      <w:pPr>
        <w:pStyle w:val="ListParagraph"/>
        <w:numPr>
          <w:ilvl w:val="0"/>
          <w:numId w:val="22"/>
        </w:numPr>
        <w:jc w:val="both"/>
        <w:rPr>
          <w:rFonts w:asciiTheme="majorBidi" w:hAnsiTheme="majorBidi" w:cstheme="majorBidi"/>
        </w:rPr>
      </w:pPr>
      <w:r w:rsidRPr="002A4D74">
        <w:rPr>
          <w:rFonts w:asciiTheme="majorBidi" w:hAnsiTheme="majorBidi" w:cstheme="majorBidi"/>
        </w:rPr>
        <w:t>Partial digitalization: sensor monitoring with limited AI analytics [30];</w:t>
      </w:r>
    </w:p>
    <w:p w14:paraId="4F254494" w14:textId="629AF8D1" w:rsidR="00D5468E" w:rsidRPr="002A4D74" w:rsidRDefault="00D5468E" w:rsidP="002A4D74">
      <w:pPr>
        <w:pStyle w:val="ListParagraph"/>
        <w:numPr>
          <w:ilvl w:val="0"/>
          <w:numId w:val="22"/>
        </w:numPr>
        <w:jc w:val="both"/>
        <w:rPr>
          <w:rFonts w:asciiTheme="majorBidi" w:hAnsiTheme="majorBidi" w:cstheme="majorBidi"/>
        </w:rPr>
      </w:pPr>
      <w:r w:rsidRPr="002A4D74">
        <w:rPr>
          <w:rFonts w:asciiTheme="majorBidi" w:hAnsiTheme="majorBidi" w:cstheme="majorBidi"/>
        </w:rPr>
        <w:t>Fully integrated AI–IoT system: predictive, adaptive, and automated decision-making [31].</w:t>
      </w:r>
    </w:p>
    <w:p w14:paraId="63C4CC63" w14:textId="5D1635B0" w:rsidR="00D5468E" w:rsidRPr="002A4D74" w:rsidRDefault="00D5468E" w:rsidP="00D5468E">
      <w:pPr>
        <w:jc w:val="both"/>
        <w:rPr>
          <w:rFonts w:asciiTheme="majorBidi" w:hAnsiTheme="majorBidi" w:cstheme="majorBidi"/>
        </w:rPr>
      </w:pPr>
      <w:r w:rsidRPr="002A4D74">
        <w:rPr>
          <w:rFonts w:asciiTheme="majorBidi" w:hAnsiTheme="majorBidi" w:cstheme="majorBidi"/>
        </w:rPr>
        <w:t>Each scenario is simulated across multiple climate variability levels to assess system robustness [32]. Monte Carlo simulations are employed to capture stochastic uncertainty and ensure statistical robustness of results [</w:t>
      </w:r>
      <w:r w:rsidR="00751828">
        <w:rPr>
          <w:rFonts w:asciiTheme="majorBidi" w:hAnsiTheme="majorBidi" w:cstheme="majorBidi"/>
        </w:rPr>
        <w:t>24</w:t>
      </w:r>
      <w:r w:rsidRPr="002A4D74">
        <w:rPr>
          <w:rFonts w:asciiTheme="majorBidi" w:hAnsiTheme="majorBidi" w:cstheme="majorBidi"/>
        </w:rPr>
        <w:t>].</w:t>
      </w:r>
    </w:p>
    <w:p w14:paraId="0FE1DE04" w14:textId="77777777" w:rsidR="00D5468E" w:rsidRPr="00E77347" w:rsidRDefault="00D5468E" w:rsidP="00D5468E">
      <w:pPr>
        <w:jc w:val="both"/>
        <w:rPr>
          <w:rFonts w:asciiTheme="majorBidi" w:hAnsiTheme="majorBidi" w:cstheme="majorBidi"/>
          <w:sz w:val="22"/>
          <w:szCs w:val="22"/>
        </w:rPr>
      </w:pPr>
    </w:p>
    <w:p w14:paraId="431D2B0C" w14:textId="6627D418" w:rsidR="00D5468E" w:rsidRPr="002A4D74" w:rsidRDefault="00751828" w:rsidP="002A4D74">
      <w:pPr>
        <w:jc w:val="both"/>
        <w:rPr>
          <w:rFonts w:asciiTheme="majorBidi" w:hAnsiTheme="majorBidi" w:cstheme="majorBidi"/>
          <w:b/>
          <w:bCs/>
          <w:sz w:val="18"/>
          <w:szCs w:val="18"/>
        </w:rPr>
      </w:pPr>
      <w:r w:rsidRPr="002A4D74">
        <w:rPr>
          <w:rFonts w:asciiTheme="majorBidi" w:hAnsiTheme="majorBidi" w:cstheme="majorBidi"/>
          <w:b/>
          <w:bCs/>
          <w:sz w:val="18"/>
          <w:szCs w:val="18"/>
        </w:rPr>
        <w:drawing>
          <wp:anchor distT="0" distB="0" distL="114300" distR="114300" simplePos="0" relativeHeight="251662336" behindDoc="0" locked="0" layoutInCell="1" allowOverlap="1" wp14:anchorId="4522168D" wp14:editId="0897675A">
            <wp:simplePos x="0" y="0"/>
            <wp:positionH relativeFrom="column">
              <wp:posOffset>432435</wp:posOffset>
            </wp:positionH>
            <wp:positionV relativeFrom="page">
              <wp:posOffset>2571750</wp:posOffset>
            </wp:positionV>
            <wp:extent cx="4829175" cy="2935605"/>
            <wp:effectExtent l="0" t="0" r="9525"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4" cstate="print">
                      <a:extLst>
                        <a:ext uri="{BEBA8EAE-BF5A-486C-A8C5-ECC9F3942E4B}">
                          <a14:imgProps xmlns:a14="http://schemas.microsoft.com/office/drawing/2010/main">
                            <a14:imgLayer r:embed="rId1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829175" cy="2935605"/>
                    </a:xfrm>
                    <a:prstGeom prst="rect">
                      <a:avLst/>
                    </a:prstGeom>
                  </pic:spPr>
                </pic:pic>
              </a:graphicData>
            </a:graphic>
            <wp14:sizeRelH relativeFrom="margin">
              <wp14:pctWidth>0</wp14:pctWidth>
            </wp14:sizeRelH>
            <wp14:sizeRelV relativeFrom="margin">
              <wp14:pctHeight>0</wp14:pctHeight>
            </wp14:sizeRelV>
          </wp:anchor>
        </w:drawing>
      </w:r>
      <w:r w:rsidR="00D5468E" w:rsidRPr="002A4D74">
        <w:rPr>
          <w:rFonts w:asciiTheme="majorBidi" w:hAnsiTheme="majorBidi" w:cstheme="majorBidi"/>
          <w:b/>
          <w:bCs/>
          <w:sz w:val="18"/>
          <w:szCs w:val="18"/>
        </w:rPr>
        <w:t>Figure 4</w:t>
      </w:r>
      <w:r w:rsidR="002A4D74" w:rsidRPr="002A4D74">
        <w:rPr>
          <w:rFonts w:asciiTheme="majorBidi" w:hAnsiTheme="majorBidi" w:cstheme="majorBidi"/>
          <w:b/>
          <w:bCs/>
          <w:sz w:val="18"/>
          <w:szCs w:val="18"/>
        </w:rPr>
        <w:t xml:space="preserve">: </w:t>
      </w:r>
      <w:r w:rsidR="00D5468E" w:rsidRPr="002A4D74">
        <w:rPr>
          <w:rFonts w:asciiTheme="majorBidi" w:hAnsiTheme="majorBidi" w:cstheme="majorBidi"/>
          <w:b/>
          <w:bCs/>
          <w:sz w:val="18"/>
          <w:szCs w:val="18"/>
        </w:rPr>
        <w:t>Simulation scenarios and comparative evaluation framework.</w:t>
      </w:r>
    </w:p>
    <w:p w14:paraId="6C18028B" w14:textId="45804D71" w:rsidR="00D5468E" w:rsidRPr="00E77347" w:rsidRDefault="00D5468E" w:rsidP="00D5468E">
      <w:pPr>
        <w:jc w:val="both"/>
        <w:rPr>
          <w:rFonts w:asciiTheme="majorBidi" w:hAnsiTheme="majorBidi" w:cstheme="majorBidi"/>
          <w:sz w:val="22"/>
          <w:szCs w:val="22"/>
        </w:rPr>
      </w:pPr>
    </w:p>
    <w:p w14:paraId="70266CFA" w14:textId="17EE5E45"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3.7 Assumptions and Limitations</w:t>
      </w:r>
    </w:p>
    <w:p w14:paraId="7A3E7B90" w14:textId="59A5D658" w:rsidR="00D5468E" w:rsidRPr="002A4D74" w:rsidRDefault="00D5468E" w:rsidP="002A4D74">
      <w:pPr>
        <w:jc w:val="both"/>
        <w:rPr>
          <w:rFonts w:asciiTheme="majorBidi" w:hAnsiTheme="majorBidi" w:cstheme="majorBidi"/>
        </w:rPr>
      </w:pPr>
      <w:r w:rsidRPr="002A4D74">
        <w:rPr>
          <w:rFonts w:asciiTheme="majorBidi" w:hAnsiTheme="majorBidi" w:cstheme="majorBidi"/>
        </w:rPr>
        <w:t>Key assumptions include stable sensor availability, sufficient data connectivity, and rational decision logic embedded in AI models [</w:t>
      </w:r>
      <w:r w:rsidR="00751828">
        <w:rPr>
          <w:rFonts w:asciiTheme="majorBidi" w:hAnsiTheme="majorBidi" w:cstheme="majorBidi"/>
        </w:rPr>
        <w:t>14</w:t>
      </w:r>
      <w:r w:rsidRPr="002A4D74">
        <w:rPr>
          <w:rFonts w:asciiTheme="majorBidi" w:hAnsiTheme="majorBidi" w:cstheme="majorBidi"/>
        </w:rPr>
        <w:t>]. While these assumptions may not hold universally, they reflect best-case deployment conditions commonly reported in the literature [</w:t>
      </w:r>
      <w:r w:rsidR="00751828">
        <w:rPr>
          <w:rFonts w:asciiTheme="majorBidi" w:hAnsiTheme="majorBidi" w:cstheme="majorBidi"/>
        </w:rPr>
        <w:t>28</w:t>
      </w:r>
      <w:r w:rsidRPr="002A4D74">
        <w:rPr>
          <w:rFonts w:asciiTheme="majorBidi" w:hAnsiTheme="majorBidi" w:cstheme="majorBidi"/>
        </w:rPr>
        <w:t>]. Limitations related to real-world adoption barriers are addressed explicitly in the Discussion section [</w:t>
      </w:r>
      <w:r w:rsidR="00751828">
        <w:rPr>
          <w:rFonts w:asciiTheme="majorBidi" w:hAnsiTheme="majorBidi" w:cstheme="majorBidi"/>
        </w:rPr>
        <w:t>21</w:t>
      </w:r>
      <w:r w:rsidRPr="002A4D74">
        <w:rPr>
          <w:rFonts w:asciiTheme="majorBidi" w:hAnsiTheme="majorBidi" w:cstheme="majorBidi"/>
        </w:rPr>
        <w:t>].</w:t>
      </w:r>
    </w:p>
    <w:p w14:paraId="4995EA7F" w14:textId="77777777" w:rsidR="00D5468E" w:rsidRPr="00E77347" w:rsidRDefault="00D5468E" w:rsidP="00D5468E">
      <w:pPr>
        <w:jc w:val="both"/>
        <w:rPr>
          <w:rFonts w:asciiTheme="majorBidi" w:hAnsiTheme="majorBidi" w:cstheme="majorBidi"/>
          <w:sz w:val="22"/>
          <w:szCs w:val="22"/>
        </w:rPr>
      </w:pPr>
    </w:p>
    <w:p w14:paraId="3A450F45" w14:textId="773DA0B5" w:rsidR="00D5468E" w:rsidRPr="002A4D74" w:rsidRDefault="00D5468E" w:rsidP="002A4D74">
      <w:pPr>
        <w:pStyle w:val="ListParagraph"/>
        <w:numPr>
          <w:ilvl w:val="0"/>
          <w:numId w:val="16"/>
        </w:numPr>
        <w:jc w:val="both"/>
        <w:rPr>
          <w:rFonts w:asciiTheme="majorBidi" w:hAnsiTheme="majorBidi" w:cstheme="majorBidi"/>
          <w:b/>
          <w:bCs/>
          <w:sz w:val="22"/>
          <w:szCs w:val="22"/>
        </w:rPr>
      </w:pPr>
      <w:r w:rsidRPr="002A4D74">
        <w:rPr>
          <w:rFonts w:asciiTheme="majorBidi" w:hAnsiTheme="majorBidi" w:cstheme="majorBidi"/>
          <w:b/>
          <w:bCs/>
          <w:sz w:val="22"/>
          <w:szCs w:val="22"/>
        </w:rPr>
        <w:t>Results</w:t>
      </w:r>
    </w:p>
    <w:p w14:paraId="0667A781" w14:textId="77777777"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4.1 Overview of Simulation Outcomes</w:t>
      </w:r>
    </w:p>
    <w:p w14:paraId="5191C6BF" w14:textId="77777777" w:rsidR="00D5468E" w:rsidRPr="002A4D74" w:rsidRDefault="00D5468E" w:rsidP="00D5468E">
      <w:pPr>
        <w:jc w:val="both"/>
        <w:rPr>
          <w:rFonts w:asciiTheme="majorBidi" w:hAnsiTheme="majorBidi" w:cstheme="majorBidi"/>
        </w:rPr>
      </w:pPr>
      <w:r w:rsidRPr="002A4D74">
        <w:rPr>
          <w:rFonts w:asciiTheme="majorBidi" w:hAnsiTheme="majorBidi" w:cstheme="majorBidi"/>
        </w:rPr>
        <w:t>The simulation results demonstrate statistically significant performance differences across the three evaluated scenarios: baseline management, partial digitalization, and fully integrated AI–IoT systems. Across all climate variability levels, AI-enabled configurations consistently outperform conventional approaches in terms of yield stability, resource efficiency, and food safety indicators [1][2]. These improvements are particularly pronounced under high climate stress conditions, underscoring the role of intelligent systems in enhancing resilience [3].</w:t>
      </w:r>
    </w:p>
    <w:p w14:paraId="4A899E4B" w14:textId="77777777" w:rsidR="00D5468E" w:rsidRPr="00E77347" w:rsidRDefault="00D5468E" w:rsidP="00D5468E">
      <w:pPr>
        <w:jc w:val="both"/>
        <w:rPr>
          <w:rFonts w:asciiTheme="majorBidi" w:hAnsiTheme="majorBidi" w:cstheme="majorBidi"/>
          <w:sz w:val="22"/>
          <w:szCs w:val="22"/>
        </w:rPr>
      </w:pPr>
    </w:p>
    <w:p w14:paraId="1C8A9178" w14:textId="77777777"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4.2 Climate Resilience Performance</w:t>
      </w:r>
    </w:p>
    <w:p w14:paraId="0AFB637E" w14:textId="77777777"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4.2.1 Yield Stability under Climate Variability</w:t>
      </w:r>
    </w:p>
    <w:p w14:paraId="38D2142F" w14:textId="63682FD2" w:rsidR="00D5468E" w:rsidRPr="002A4D74" w:rsidRDefault="00D5468E" w:rsidP="002A4D74">
      <w:pPr>
        <w:jc w:val="both"/>
        <w:rPr>
          <w:rFonts w:asciiTheme="majorBidi" w:hAnsiTheme="majorBidi" w:cstheme="majorBidi"/>
        </w:rPr>
      </w:pPr>
      <w:r w:rsidRPr="002A4D74">
        <w:rPr>
          <w:rFonts w:asciiTheme="majorBidi" w:hAnsiTheme="majorBidi" w:cstheme="majorBidi"/>
        </w:rPr>
        <w:t>Yield stability, measured as the coefficient of variation across simulation runs, improves substantially with AI integration. Under moderate climate variability, the fully integrated AI–IoT system reduces yield variability by approximately 22–28% compared to the baseline scenario [</w:t>
      </w:r>
      <w:r w:rsidR="00751828">
        <w:rPr>
          <w:rFonts w:asciiTheme="majorBidi" w:hAnsiTheme="majorBidi" w:cstheme="majorBidi"/>
        </w:rPr>
        <w:t>25</w:t>
      </w:r>
      <w:r w:rsidRPr="002A4D74">
        <w:rPr>
          <w:rFonts w:asciiTheme="majorBidi" w:hAnsiTheme="majorBidi" w:cstheme="majorBidi"/>
        </w:rPr>
        <w:t>]. Under high climate variability, the reduction increases to 35–41%, reflecting the adaptive capacity of predictive analytics and reinforcement learning–based control strategies [38].</w:t>
      </w:r>
    </w:p>
    <w:p w14:paraId="6E5D1C06" w14:textId="00A18EBD" w:rsidR="00D5468E" w:rsidRPr="00751828" w:rsidRDefault="00D5468E" w:rsidP="00D5468E">
      <w:pPr>
        <w:jc w:val="both"/>
        <w:rPr>
          <w:rFonts w:asciiTheme="majorBidi" w:hAnsiTheme="majorBidi" w:cstheme="majorBidi"/>
        </w:rPr>
      </w:pPr>
      <w:r w:rsidRPr="00751828">
        <w:rPr>
          <w:rFonts w:asciiTheme="majorBidi" w:hAnsiTheme="majorBidi" w:cstheme="majorBidi"/>
        </w:rPr>
        <w:t>Partial digitalization; relying on sensor monitoring without advanced AI optimization; yields moderate improvements (10–15%), indicating that sensing alone is insufficient to achieve robust climate resilience [</w:t>
      </w:r>
      <w:r w:rsidR="00751828" w:rsidRPr="00751828">
        <w:rPr>
          <w:rFonts w:asciiTheme="majorBidi" w:hAnsiTheme="majorBidi" w:cstheme="majorBidi"/>
        </w:rPr>
        <w:t>31</w:t>
      </w:r>
      <w:r w:rsidRPr="00751828">
        <w:rPr>
          <w:rFonts w:asciiTheme="majorBidi" w:hAnsiTheme="majorBidi" w:cstheme="majorBidi"/>
        </w:rPr>
        <w:t>].</w:t>
      </w:r>
    </w:p>
    <w:p w14:paraId="050900ED" w14:textId="77777777" w:rsidR="00D5468E" w:rsidRDefault="00D5468E" w:rsidP="00D5468E">
      <w:pPr>
        <w:jc w:val="both"/>
        <w:rPr>
          <w:rFonts w:asciiTheme="majorBidi" w:hAnsiTheme="majorBidi" w:cstheme="majorBidi"/>
          <w:sz w:val="22"/>
          <w:szCs w:val="22"/>
        </w:rPr>
      </w:pPr>
    </w:p>
    <w:p w14:paraId="563F8654" w14:textId="77777777" w:rsidR="002A4D74" w:rsidRPr="00E77347" w:rsidRDefault="002A4D74" w:rsidP="00D5468E">
      <w:pPr>
        <w:jc w:val="both"/>
        <w:rPr>
          <w:rFonts w:asciiTheme="majorBidi" w:hAnsiTheme="majorBidi" w:cstheme="majorBidi"/>
          <w:sz w:val="22"/>
          <w:szCs w:val="22"/>
        </w:rPr>
      </w:pPr>
    </w:p>
    <w:p w14:paraId="017383E4" w14:textId="77777777" w:rsidR="002A4D74" w:rsidRDefault="002A4D74" w:rsidP="002A4D74">
      <w:pPr>
        <w:jc w:val="both"/>
        <w:rPr>
          <w:rFonts w:asciiTheme="majorBidi" w:hAnsiTheme="majorBidi" w:cstheme="majorBidi"/>
          <w:b/>
          <w:bCs/>
        </w:rPr>
      </w:pPr>
    </w:p>
    <w:p w14:paraId="46C819AC" w14:textId="77777777" w:rsidR="00751828" w:rsidRDefault="00751828" w:rsidP="002A4D74">
      <w:pPr>
        <w:jc w:val="both"/>
        <w:rPr>
          <w:rFonts w:asciiTheme="majorBidi" w:hAnsiTheme="majorBidi" w:cstheme="majorBidi"/>
          <w:b/>
          <w:bCs/>
        </w:rPr>
      </w:pPr>
    </w:p>
    <w:p w14:paraId="7CC5E4D5" w14:textId="77777777" w:rsidR="00B24FCB" w:rsidRDefault="00B24FCB" w:rsidP="002A4D74">
      <w:pPr>
        <w:jc w:val="both"/>
        <w:rPr>
          <w:rFonts w:asciiTheme="majorBidi" w:hAnsiTheme="majorBidi" w:cstheme="majorBidi"/>
          <w:b/>
          <w:bCs/>
          <w:sz w:val="18"/>
          <w:szCs w:val="18"/>
        </w:rPr>
      </w:pPr>
    </w:p>
    <w:p w14:paraId="28A000C2" w14:textId="77777777" w:rsidR="00751828" w:rsidRDefault="00751828" w:rsidP="002A4D74">
      <w:pPr>
        <w:jc w:val="both"/>
        <w:rPr>
          <w:rFonts w:asciiTheme="majorBidi" w:hAnsiTheme="majorBidi" w:cstheme="majorBidi"/>
          <w:b/>
          <w:bCs/>
          <w:sz w:val="18"/>
          <w:szCs w:val="18"/>
        </w:rPr>
      </w:pPr>
    </w:p>
    <w:p w14:paraId="3F93B509" w14:textId="058DB687" w:rsidR="00D5468E" w:rsidRPr="002A4D74" w:rsidRDefault="00D5468E" w:rsidP="002A4D74">
      <w:pPr>
        <w:jc w:val="both"/>
        <w:rPr>
          <w:rFonts w:asciiTheme="majorBidi" w:hAnsiTheme="majorBidi" w:cstheme="majorBidi"/>
          <w:b/>
          <w:bCs/>
          <w:sz w:val="18"/>
          <w:szCs w:val="18"/>
        </w:rPr>
      </w:pPr>
      <w:r w:rsidRPr="002A4D74">
        <w:rPr>
          <w:rFonts w:asciiTheme="majorBidi" w:hAnsiTheme="majorBidi" w:cstheme="majorBidi"/>
          <w:b/>
          <w:bCs/>
          <w:sz w:val="18"/>
          <w:szCs w:val="18"/>
        </w:rPr>
        <w:t>Table 5</w:t>
      </w:r>
      <w:r w:rsidR="002A4D74" w:rsidRPr="002A4D74">
        <w:rPr>
          <w:rFonts w:asciiTheme="majorBidi" w:hAnsiTheme="majorBidi" w:cstheme="majorBidi"/>
          <w:b/>
          <w:bCs/>
          <w:sz w:val="18"/>
          <w:szCs w:val="18"/>
        </w:rPr>
        <w:t xml:space="preserve">: </w:t>
      </w:r>
      <w:r w:rsidRPr="002A4D74">
        <w:rPr>
          <w:rFonts w:asciiTheme="majorBidi" w:hAnsiTheme="majorBidi" w:cstheme="majorBidi"/>
          <w:b/>
          <w:bCs/>
          <w:sz w:val="18"/>
          <w:szCs w:val="18"/>
        </w:rPr>
        <w:t>Yield stability metrics across scenarios and climate variability levels.</w:t>
      </w:r>
    </w:p>
    <w:tbl>
      <w:tblPr>
        <w:tblStyle w:val="TableGrid"/>
        <w:tblW w:w="0" w:type="auto"/>
        <w:tblLook w:val="04A0" w:firstRow="1" w:lastRow="0" w:firstColumn="1" w:lastColumn="0" w:noHBand="0" w:noVBand="1"/>
      </w:tblPr>
      <w:tblGrid>
        <w:gridCol w:w="2263"/>
        <w:gridCol w:w="2456"/>
        <w:gridCol w:w="2530"/>
        <w:gridCol w:w="2096"/>
      </w:tblGrid>
      <w:tr w:rsidR="00D5468E" w:rsidRPr="002A4D74" w14:paraId="18400AAC" w14:textId="77777777" w:rsidTr="00A25402">
        <w:tc>
          <w:tcPr>
            <w:tcW w:w="2263" w:type="dxa"/>
            <w:hideMark/>
          </w:tcPr>
          <w:p w14:paraId="2094FC0E" w14:textId="77777777" w:rsidR="00D5468E" w:rsidRPr="002A4D74" w:rsidRDefault="00D5468E" w:rsidP="00A25402">
            <w:pPr>
              <w:jc w:val="center"/>
              <w:rPr>
                <w:rFonts w:cs="Times New Roman"/>
                <w:b/>
                <w:bCs/>
                <w:noProof w:val="0"/>
                <w:sz w:val="18"/>
                <w:szCs w:val="18"/>
              </w:rPr>
            </w:pPr>
            <w:r w:rsidRPr="002A4D74">
              <w:rPr>
                <w:rFonts w:cs="Times New Roman"/>
                <w:b/>
                <w:bCs/>
                <w:noProof w:val="0"/>
                <w:sz w:val="18"/>
                <w:szCs w:val="18"/>
              </w:rPr>
              <w:t>Scenario</w:t>
            </w:r>
          </w:p>
        </w:tc>
        <w:tc>
          <w:tcPr>
            <w:tcW w:w="2456" w:type="dxa"/>
            <w:hideMark/>
          </w:tcPr>
          <w:p w14:paraId="0E965A23" w14:textId="77777777" w:rsidR="00D5468E" w:rsidRPr="002A4D74" w:rsidRDefault="00D5468E" w:rsidP="00A25402">
            <w:pPr>
              <w:jc w:val="center"/>
              <w:rPr>
                <w:rFonts w:cs="Times New Roman"/>
                <w:b/>
                <w:bCs/>
                <w:noProof w:val="0"/>
                <w:sz w:val="18"/>
                <w:szCs w:val="18"/>
              </w:rPr>
            </w:pPr>
            <w:r w:rsidRPr="002A4D74">
              <w:rPr>
                <w:rFonts w:cs="Times New Roman"/>
                <w:b/>
                <w:bCs/>
                <w:noProof w:val="0"/>
                <w:sz w:val="18"/>
                <w:szCs w:val="18"/>
              </w:rPr>
              <w:t>Moderate Climate Variability (CV %)</w:t>
            </w:r>
          </w:p>
        </w:tc>
        <w:tc>
          <w:tcPr>
            <w:tcW w:w="0" w:type="auto"/>
            <w:hideMark/>
          </w:tcPr>
          <w:p w14:paraId="390CBB45" w14:textId="77777777" w:rsidR="00D5468E" w:rsidRPr="002A4D74" w:rsidRDefault="00D5468E" w:rsidP="00A25402">
            <w:pPr>
              <w:jc w:val="center"/>
              <w:rPr>
                <w:rFonts w:cs="Times New Roman"/>
                <w:b/>
                <w:bCs/>
                <w:noProof w:val="0"/>
                <w:sz w:val="18"/>
                <w:szCs w:val="18"/>
              </w:rPr>
            </w:pPr>
            <w:r w:rsidRPr="002A4D74">
              <w:rPr>
                <w:rFonts w:cs="Times New Roman"/>
                <w:b/>
                <w:bCs/>
                <w:noProof w:val="0"/>
                <w:sz w:val="18"/>
                <w:szCs w:val="18"/>
              </w:rPr>
              <w:t>High Climate Variability (CV %)</w:t>
            </w:r>
          </w:p>
        </w:tc>
        <w:tc>
          <w:tcPr>
            <w:tcW w:w="0" w:type="auto"/>
            <w:hideMark/>
          </w:tcPr>
          <w:p w14:paraId="387915A4" w14:textId="77777777" w:rsidR="00D5468E" w:rsidRPr="002A4D74" w:rsidRDefault="00D5468E" w:rsidP="00A25402">
            <w:pPr>
              <w:jc w:val="center"/>
              <w:rPr>
                <w:rFonts w:cs="Times New Roman"/>
                <w:b/>
                <w:bCs/>
                <w:noProof w:val="0"/>
                <w:sz w:val="18"/>
                <w:szCs w:val="18"/>
              </w:rPr>
            </w:pPr>
            <w:r w:rsidRPr="002A4D74">
              <w:rPr>
                <w:rFonts w:cs="Times New Roman"/>
                <w:b/>
                <w:bCs/>
                <w:noProof w:val="0"/>
                <w:sz w:val="18"/>
                <w:szCs w:val="18"/>
              </w:rPr>
              <w:t>Reduction vs. Baseline (%)</w:t>
            </w:r>
          </w:p>
        </w:tc>
      </w:tr>
      <w:tr w:rsidR="00D5468E" w:rsidRPr="002A4D74" w14:paraId="1D4A1A81" w14:textId="77777777" w:rsidTr="00A25402">
        <w:tc>
          <w:tcPr>
            <w:tcW w:w="2263" w:type="dxa"/>
            <w:hideMark/>
          </w:tcPr>
          <w:p w14:paraId="6BE63702" w14:textId="77777777" w:rsidR="00D5468E" w:rsidRPr="002A4D74" w:rsidRDefault="00D5468E" w:rsidP="00A25402">
            <w:pPr>
              <w:rPr>
                <w:rFonts w:cs="Times New Roman"/>
                <w:noProof w:val="0"/>
                <w:sz w:val="18"/>
                <w:szCs w:val="18"/>
              </w:rPr>
            </w:pPr>
            <w:r w:rsidRPr="002A4D74">
              <w:rPr>
                <w:rFonts w:cs="Times New Roman"/>
                <w:noProof w:val="0"/>
                <w:sz w:val="18"/>
                <w:szCs w:val="18"/>
              </w:rPr>
              <w:t>Baseline</w:t>
            </w:r>
          </w:p>
        </w:tc>
        <w:tc>
          <w:tcPr>
            <w:tcW w:w="2456" w:type="dxa"/>
            <w:hideMark/>
          </w:tcPr>
          <w:p w14:paraId="79D92F59" w14:textId="77777777" w:rsidR="00D5468E" w:rsidRPr="002A4D74" w:rsidRDefault="00D5468E" w:rsidP="00A25402">
            <w:pPr>
              <w:rPr>
                <w:rFonts w:cs="Times New Roman"/>
                <w:noProof w:val="0"/>
                <w:sz w:val="18"/>
                <w:szCs w:val="18"/>
              </w:rPr>
            </w:pPr>
            <w:r w:rsidRPr="002A4D74">
              <w:rPr>
                <w:rFonts w:cs="Times New Roman"/>
                <w:noProof w:val="0"/>
                <w:sz w:val="18"/>
                <w:szCs w:val="18"/>
              </w:rPr>
              <w:t>35–40</w:t>
            </w:r>
          </w:p>
        </w:tc>
        <w:tc>
          <w:tcPr>
            <w:tcW w:w="0" w:type="auto"/>
            <w:hideMark/>
          </w:tcPr>
          <w:p w14:paraId="1BFA71A1" w14:textId="6A28C530" w:rsidR="00D5468E" w:rsidRPr="002A4D74" w:rsidRDefault="00D5468E" w:rsidP="00A25402">
            <w:pPr>
              <w:rPr>
                <w:rFonts w:cs="Times New Roman"/>
                <w:noProof w:val="0"/>
                <w:sz w:val="18"/>
                <w:szCs w:val="18"/>
              </w:rPr>
            </w:pPr>
            <w:r w:rsidRPr="002A4D74">
              <w:rPr>
                <w:rFonts w:cs="Times New Roman"/>
                <w:noProof w:val="0"/>
                <w:sz w:val="18"/>
                <w:szCs w:val="18"/>
              </w:rPr>
              <w:t>50–55</w:t>
            </w:r>
          </w:p>
        </w:tc>
        <w:tc>
          <w:tcPr>
            <w:tcW w:w="0" w:type="auto"/>
            <w:hideMark/>
          </w:tcPr>
          <w:p w14:paraId="71E5F08C" w14:textId="0B1529E2" w:rsidR="00D5468E" w:rsidRPr="002A4D74" w:rsidRDefault="00D5468E" w:rsidP="00A25402">
            <w:pPr>
              <w:rPr>
                <w:rFonts w:cs="Times New Roman"/>
                <w:noProof w:val="0"/>
                <w:sz w:val="18"/>
                <w:szCs w:val="18"/>
              </w:rPr>
            </w:pPr>
            <w:r w:rsidRPr="002A4D74">
              <w:rPr>
                <w:rFonts w:cs="Times New Roman"/>
                <w:noProof w:val="0"/>
                <w:sz w:val="18"/>
                <w:szCs w:val="18"/>
              </w:rPr>
              <w:t>-</w:t>
            </w:r>
          </w:p>
        </w:tc>
      </w:tr>
      <w:tr w:rsidR="00D5468E" w:rsidRPr="002A4D74" w14:paraId="547F7F3B" w14:textId="77777777" w:rsidTr="00A25402">
        <w:tc>
          <w:tcPr>
            <w:tcW w:w="2263" w:type="dxa"/>
            <w:hideMark/>
          </w:tcPr>
          <w:p w14:paraId="3EE79337" w14:textId="77777777" w:rsidR="00D5468E" w:rsidRPr="002A4D74" w:rsidRDefault="00D5468E" w:rsidP="00A25402">
            <w:pPr>
              <w:rPr>
                <w:rFonts w:cs="Times New Roman"/>
                <w:noProof w:val="0"/>
                <w:sz w:val="18"/>
                <w:szCs w:val="18"/>
              </w:rPr>
            </w:pPr>
            <w:r w:rsidRPr="002A4D74">
              <w:rPr>
                <w:rFonts w:cs="Times New Roman"/>
                <w:noProof w:val="0"/>
                <w:sz w:val="18"/>
                <w:szCs w:val="18"/>
              </w:rPr>
              <w:t>Partial Digitalization</w:t>
            </w:r>
          </w:p>
        </w:tc>
        <w:tc>
          <w:tcPr>
            <w:tcW w:w="2456" w:type="dxa"/>
            <w:hideMark/>
          </w:tcPr>
          <w:p w14:paraId="55078257" w14:textId="77777777" w:rsidR="00D5468E" w:rsidRPr="002A4D74" w:rsidRDefault="00D5468E" w:rsidP="00A25402">
            <w:pPr>
              <w:rPr>
                <w:rFonts w:cs="Times New Roman"/>
                <w:noProof w:val="0"/>
                <w:sz w:val="18"/>
                <w:szCs w:val="18"/>
              </w:rPr>
            </w:pPr>
            <w:r w:rsidRPr="002A4D74">
              <w:rPr>
                <w:rFonts w:cs="Times New Roman"/>
                <w:noProof w:val="0"/>
                <w:sz w:val="18"/>
                <w:szCs w:val="18"/>
              </w:rPr>
              <w:t>30–35</w:t>
            </w:r>
          </w:p>
        </w:tc>
        <w:tc>
          <w:tcPr>
            <w:tcW w:w="0" w:type="auto"/>
            <w:hideMark/>
          </w:tcPr>
          <w:p w14:paraId="1C2029E3" w14:textId="77777777" w:rsidR="00D5468E" w:rsidRPr="002A4D74" w:rsidRDefault="00D5468E" w:rsidP="00A25402">
            <w:pPr>
              <w:rPr>
                <w:rFonts w:cs="Times New Roman"/>
                <w:noProof w:val="0"/>
                <w:sz w:val="18"/>
                <w:szCs w:val="18"/>
              </w:rPr>
            </w:pPr>
            <w:r w:rsidRPr="002A4D74">
              <w:rPr>
                <w:rFonts w:cs="Times New Roman"/>
                <w:noProof w:val="0"/>
                <w:sz w:val="18"/>
                <w:szCs w:val="18"/>
              </w:rPr>
              <w:t>42–48</w:t>
            </w:r>
          </w:p>
        </w:tc>
        <w:tc>
          <w:tcPr>
            <w:tcW w:w="0" w:type="auto"/>
            <w:hideMark/>
          </w:tcPr>
          <w:p w14:paraId="18F39A9F" w14:textId="77777777" w:rsidR="00D5468E" w:rsidRPr="002A4D74" w:rsidRDefault="00D5468E" w:rsidP="00A25402">
            <w:pPr>
              <w:rPr>
                <w:rFonts w:cs="Times New Roman"/>
                <w:noProof w:val="0"/>
                <w:sz w:val="18"/>
                <w:szCs w:val="18"/>
              </w:rPr>
            </w:pPr>
            <w:r w:rsidRPr="002A4D74">
              <w:rPr>
                <w:rFonts w:cs="Times New Roman"/>
                <w:noProof w:val="0"/>
                <w:sz w:val="18"/>
                <w:szCs w:val="18"/>
              </w:rPr>
              <w:t>10–15</w:t>
            </w:r>
          </w:p>
        </w:tc>
      </w:tr>
      <w:tr w:rsidR="00D5468E" w:rsidRPr="002A4D74" w14:paraId="38D2E6FE" w14:textId="77777777" w:rsidTr="00A25402">
        <w:tc>
          <w:tcPr>
            <w:tcW w:w="2263" w:type="dxa"/>
            <w:hideMark/>
          </w:tcPr>
          <w:p w14:paraId="3A40E07D" w14:textId="77777777" w:rsidR="00D5468E" w:rsidRPr="002A4D74" w:rsidRDefault="00D5468E" w:rsidP="00A25402">
            <w:pPr>
              <w:rPr>
                <w:rFonts w:cs="Times New Roman"/>
                <w:noProof w:val="0"/>
                <w:sz w:val="18"/>
                <w:szCs w:val="18"/>
              </w:rPr>
            </w:pPr>
            <w:r w:rsidRPr="002A4D74">
              <w:rPr>
                <w:rFonts w:cs="Times New Roman"/>
                <w:noProof w:val="0"/>
                <w:sz w:val="18"/>
                <w:szCs w:val="18"/>
              </w:rPr>
              <w:t>Fully Integrated AI–IoT</w:t>
            </w:r>
          </w:p>
        </w:tc>
        <w:tc>
          <w:tcPr>
            <w:tcW w:w="2456" w:type="dxa"/>
            <w:hideMark/>
          </w:tcPr>
          <w:p w14:paraId="65F0DE05" w14:textId="77777777" w:rsidR="00D5468E" w:rsidRPr="002A4D74" w:rsidRDefault="00D5468E" w:rsidP="00A25402">
            <w:pPr>
              <w:rPr>
                <w:rFonts w:cs="Times New Roman"/>
                <w:noProof w:val="0"/>
                <w:sz w:val="18"/>
                <w:szCs w:val="18"/>
              </w:rPr>
            </w:pPr>
            <w:r w:rsidRPr="002A4D74">
              <w:rPr>
                <w:rFonts w:cs="Times New Roman"/>
                <w:noProof w:val="0"/>
                <w:sz w:val="18"/>
                <w:szCs w:val="18"/>
              </w:rPr>
              <w:t>25–30</w:t>
            </w:r>
          </w:p>
        </w:tc>
        <w:tc>
          <w:tcPr>
            <w:tcW w:w="0" w:type="auto"/>
            <w:hideMark/>
          </w:tcPr>
          <w:p w14:paraId="64825203" w14:textId="77777777" w:rsidR="00D5468E" w:rsidRPr="002A4D74" w:rsidRDefault="00D5468E" w:rsidP="00A25402">
            <w:pPr>
              <w:rPr>
                <w:rFonts w:cs="Times New Roman"/>
                <w:noProof w:val="0"/>
                <w:sz w:val="18"/>
                <w:szCs w:val="18"/>
              </w:rPr>
            </w:pPr>
            <w:r w:rsidRPr="002A4D74">
              <w:rPr>
                <w:rFonts w:cs="Times New Roman"/>
                <w:noProof w:val="0"/>
                <w:sz w:val="18"/>
                <w:szCs w:val="18"/>
              </w:rPr>
              <w:t>30–35</w:t>
            </w:r>
          </w:p>
        </w:tc>
        <w:tc>
          <w:tcPr>
            <w:tcW w:w="0" w:type="auto"/>
            <w:hideMark/>
          </w:tcPr>
          <w:p w14:paraId="76912204" w14:textId="77777777" w:rsidR="00D5468E" w:rsidRPr="002A4D74" w:rsidRDefault="00D5468E" w:rsidP="00A25402">
            <w:pPr>
              <w:rPr>
                <w:rFonts w:cs="Times New Roman"/>
                <w:noProof w:val="0"/>
                <w:sz w:val="18"/>
                <w:szCs w:val="18"/>
              </w:rPr>
            </w:pPr>
            <w:r w:rsidRPr="002A4D74">
              <w:rPr>
                <w:rFonts w:cs="Times New Roman"/>
                <w:noProof w:val="0"/>
                <w:sz w:val="18"/>
                <w:szCs w:val="18"/>
              </w:rPr>
              <w:t>22–41</w:t>
            </w:r>
          </w:p>
        </w:tc>
      </w:tr>
    </w:tbl>
    <w:p w14:paraId="773ABBFF" w14:textId="77777777" w:rsidR="00D5468E" w:rsidRPr="00E77347" w:rsidRDefault="00D5468E" w:rsidP="00D5468E">
      <w:pPr>
        <w:jc w:val="both"/>
        <w:rPr>
          <w:rFonts w:asciiTheme="majorBidi" w:hAnsiTheme="majorBidi" w:cstheme="majorBidi"/>
          <w:sz w:val="22"/>
          <w:szCs w:val="22"/>
        </w:rPr>
      </w:pPr>
    </w:p>
    <w:p w14:paraId="234B1F66" w14:textId="35B32189"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4.2.2 Recovery Time after Climate Shocks</w:t>
      </w:r>
    </w:p>
    <w:p w14:paraId="140045FA" w14:textId="31D77310" w:rsidR="00D5468E" w:rsidRPr="002A4D74" w:rsidRDefault="00D5468E" w:rsidP="00D5468E">
      <w:pPr>
        <w:jc w:val="both"/>
        <w:rPr>
          <w:rFonts w:asciiTheme="majorBidi" w:hAnsiTheme="majorBidi" w:cstheme="majorBidi"/>
        </w:rPr>
      </w:pPr>
      <w:r w:rsidRPr="002A4D74">
        <w:rPr>
          <w:rFonts w:asciiTheme="majorBidi" w:hAnsiTheme="majorBidi" w:cstheme="majorBidi"/>
        </w:rPr>
        <w:t>Recovery time, defined as the number of simulation cycles required to return to pre-shock productivity levels, decreases markedly with AI-enabled interventions. The fully integrated system achieves recovery times 30–45% shorter than baseline management following extreme temperature or precipitation anomalies [</w:t>
      </w:r>
      <w:r w:rsidR="00751828">
        <w:rPr>
          <w:rFonts w:asciiTheme="majorBidi" w:hAnsiTheme="majorBidi" w:cstheme="majorBidi"/>
        </w:rPr>
        <w:t>19</w:t>
      </w:r>
      <w:r w:rsidRPr="002A4D74">
        <w:rPr>
          <w:rFonts w:asciiTheme="majorBidi" w:hAnsiTheme="majorBidi" w:cstheme="majorBidi"/>
        </w:rPr>
        <w:t>]. These gains are attributed to anticipatory decision-making enabled by AI-driven forecasting models [</w:t>
      </w:r>
      <w:r w:rsidR="00751828">
        <w:rPr>
          <w:rFonts w:asciiTheme="majorBidi" w:hAnsiTheme="majorBidi" w:cstheme="majorBidi"/>
        </w:rPr>
        <w:t>17</w:t>
      </w:r>
      <w:r w:rsidRPr="002A4D74">
        <w:rPr>
          <w:rFonts w:asciiTheme="majorBidi" w:hAnsiTheme="majorBidi" w:cstheme="majorBidi"/>
        </w:rPr>
        <w:t>].</w:t>
      </w:r>
    </w:p>
    <w:p w14:paraId="69894AF4" w14:textId="0C3B810F" w:rsidR="00D5468E" w:rsidRPr="00E77347" w:rsidRDefault="00D5468E" w:rsidP="00D5468E">
      <w:pPr>
        <w:jc w:val="both"/>
        <w:rPr>
          <w:rFonts w:asciiTheme="majorBidi" w:hAnsiTheme="majorBidi" w:cstheme="majorBidi"/>
          <w:sz w:val="22"/>
          <w:szCs w:val="22"/>
        </w:rPr>
      </w:pPr>
    </w:p>
    <w:p w14:paraId="530D6940" w14:textId="77777777"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4.3 Sustainability Performance Metrics</w:t>
      </w:r>
    </w:p>
    <w:p w14:paraId="448BAAB2" w14:textId="77777777" w:rsidR="00D5468E" w:rsidRPr="007516E4" w:rsidRDefault="00D5468E" w:rsidP="00D5468E">
      <w:pPr>
        <w:jc w:val="both"/>
        <w:rPr>
          <w:rFonts w:asciiTheme="majorBidi" w:hAnsiTheme="majorBidi" w:cstheme="majorBidi"/>
          <w:b/>
          <w:bCs/>
          <w:sz w:val="22"/>
          <w:szCs w:val="22"/>
        </w:rPr>
      </w:pPr>
      <w:r w:rsidRPr="002A4D74">
        <w:rPr>
          <w:rFonts w:asciiTheme="majorBidi" w:hAnsiTheme="majorBidi" w:cstheme="majorBidi"/>
          <w:i/>
          <w:iCs/>
        </w:rPr>
        <w:t>4.3.1 Water-Use Efficiency</w:t>
      </w:r>
    </w:p>
    <w:p w14:paraId="690B5825" w14:textId="14906E73" w:rsidR="00D5468E" w:rsidRDefault="00D5468E" w:rsidP="002A4D74">
      <w:pPr>
        <w:jc w:val="both"/>
        <w:rPr>
          <w:rFonts w:asciiTheme="majorBidi" w:hAnsiTheme="majorBidi" w:cstheme="majorBidi"/>
        </w:rPr>
      </w:pPr>
      <w:r w:rsidRPr="002A4D74">
        <w:rPr>
          <w:rFonts w:asciiTheme="majorBidi" w:hAnsiTheme="majorBidi" w:cstheme="majorBidi"/>
        </w:rPr>
        <w:t>Water-use efficiency improves significantly under AI-based irrigation optimization. Simulation results show water savings of 32–48% relative to baseline practices, consistent with ranges reported in recent empirical studies [20]. Partial digitalization achieves lower savings (15–22%), again highlighting the added value of intelligent control mechanisms [</w:t>
      </w:r>
      <w:r w:rsidR="00751828">
        <w:rPr>
          <w:rFonts w:asciiTheme="majorBidi" w:hAnsiTheme="majorBidi" w:cstheme="majorBidi"/>
        </w:rPr>
        <w:t>11</w:t>
      </w:r>
      <w:r w:rsidRPr="002A4D74">
        <w:rPr>
          <w:rFonts w:asciiTheme="majorBidi" w:hAnsiTheme="majorBidi" w:cstheme="majorBidi"/>
        </w:rPr>
        <w:t>].</w:t>
      </w:r>
    </w:p>
    <w:p w14:paraId="2170D365" w14:textId="57477658" w:rsidR="002A4D74" w:rsidRPr="002A4D74" w:rsidRDefault="002A4D74" w:rsidP="002A4D74">
      <w:pPr>
        <w:jc w:val="both"/>
        <w:rPr>
          <w:rFonts w:asciiTheme="majorBidi" w:hAnsiTheme="majorBidi" w:cstheme="majorBidi"/>
          <w:rtl/>
        </w:rPr>
      </w:pPr>
    </w:p>
    <w:p w14:paraId="2FBDECA5" w14:textId="6B940374" w:rsidR="00D5468E" w:rsidRPr="002A4D74" w:rsidRDefault="00B93FA7" w:rsidP="002A4D74">
      <w:pPr>
        <w:jc w:val="both"/>
        <w:rPr>
          <w:rFonts w:asciiTheme="majorBidi" w:hAnsiTheme="majorBidi" w:cstheme="majorBidi"/>
          <w:b/>
          <w:bCs/>
          <w:sz w:val="18"/>
          <w:szCs w:val="18"/>
        </w:rPr>
      </w:pPr>
      <w:r w:rsidRPr="002A4D74">
        <w:rPr>
          <w:rFonts w:asciiTheme="majorBidi" w:hAnsiTheme="majorBidi" w:cstheme="majorBidi"/>
        </w:rPr>
        <w:drawing>
          <wp:anchor distT="0" distB="0" distL="114300" distR="114300" simplePos="0" relativeHeight="251664384" behindDoc="0" locked="0" layoutInCell="1" allowOverlap="1" wp14:anchorId="5E5A0498" wp14:editId="0FF01411">
            <wp:simplePos x="0" y="0"/>
            <wp:positionH relativeFrom="column">
              <wp:posOffset>356235</wp:posOffset>
            </wp:positionH>
            <wp:positionV relativeFrom="page">
              <wp:posOffset>4352925</wp:posOffset>
            </wp:positionV>
            <wp:extent cx="4946650" cy="2993390"/>
            <wp:effectExtent l="0" t="0" r="635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
                      <a:extLst>
                        <a:ext uri="{BEBA8EAE-BF5A-486C-A8C5-ECC9F3942E4B}">
                          <a14:imgProps xmlns:a14="http://schemas.microsoft.com/office/drawing/2010/main">
                            <a14:imgLayer r:embed="rId1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946650" cy="2993390"/>
                    </a:xfrm>
                    <a:prstGeom prst="rect">
                      <a:avLst/>
                    </a:prstGeom>
                  </pic:spPr>
                </pic:pic>
              </a:graphicData>
            </a:graphic>
            <wp14:sizeRelH relativeFrom="margin">
              <wp14:pctWidth>0</wp14:pctWidth>
            </wp14:sizeRelH>
            <wp14:sizeRelV relativeFrom="margin">
              <wp14:pctHeight>0</wp14:pctHeight>
            </wp14:sizeRelV>
          </wp:anchor>
        </w:drawing>
      </w:r>
      <w:r w:rsidR="00D5468E" w:rsidRPr="002A4D74">
        <w:rPr>
          <w:rFonts w:asciiTheme="majorBidi" w:hAnsiTheme="majorBidi" w:cstheme="majorBidi"/>
          <w:b/>
          <w:bCs/>
          <w:sz w:val="18"/>
          <w:szCs w:val="18"/>
        </w:rPr>
        <w:t>Figure 6</w:t>
      </w:r>
      <w:r w:rsidR="002A4D74" w:rsidRPr="002A4D74">
        <w:rPr>
          <w:rFonts w:asciiTheme="majorBidi" w:hAnsiTheme="majorBidi" w:cstheme="majorBidi"/>
          <w:b/>
          <w:bCs/>
          <w:sz w:val="18"/>
          <w:szCs w:val="18"/>
        </w:rPr>
        <w:t xml:space="preserve">: </w:t>
      </w:r>
      <w:r w:rsidR="00D5468E" w:rsidRPr="002A4D74">
        <w:rPr>
          <w:rFonts w:asciiTheme="majorBidi" w:hAnsiTheme="majorBidi" w:cstheme="majorBidi"/>
          <w:b/>
          <w:bCs/>
          <w:sz w:val="18"/>
          <w:szCs w:val="18"/>
        </w:rPr>
        <w:t>Water-use efficiency comparison across management scenarios.</w:t>
      </w:r>
    </w:p>
    <w:p w14:paraId="526DC3CB" w14:textId="2405C9BE" w:rsidR="00D5468E" w:rsidRPr="00E77347" w:rsidRDefault="00D5468E" w:rsidP="00D5468E">
      <w:pPr>
        <w:jc w:val="both"/>
        <w:rPr>
          <w:rFonts w:asciiTheme="majorBidi" w:hAnsiTheme="majorBidi" w:cstheme="majorBidi"/>
          <w:sz w:val="22"/>
          <w:szCs w:val="22"/>
        </w:rPr>
      </w:pPr>
    </w:p>
    <w:p w14:paraId="57FD2A5F" w14:textId="036F949C"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4.3.2 Energy Intensity and Waste Reduction</w:t>
      </w:r>
    </w:p>
    <w:p w14:paraId="264F605F" w14:textId="6C34C55D" w:rsidR="00D5468E" w:rsidRPr="002A4D74" w:rsidRDefault="00D5468E" w:rsidP="00D5468E">
      <w:pPr>
        <w:jc w:val="both"/>
        <w:rPr>
          <w:rFonts w:asciiTheme="majorBidi" w:hAnsiTheme="majorBidi" w:cstheme="majorBidi"/>
        </w:rPr>
      </w:pPr>
      <w:r w:rsidRPr="002A4D74">
        <w:rPr>
          <w:rFonts w:asciiTheme="majorBidi" w:hAnsiTheme="majorBidi" w:cstheme="majorBidi"/>
        </w:rPr>
        <w:t>Energy intensity in post-harvest handling and processing decreases by 18–26% in the fully integrated AI–IoT scenario due to optimized process control and predictive maintenance [</w:t>
      </w:r>
      <w:r w:rsidR="00751828">
        <w:rPr>
          <w:rFonts w:asciiTheme="majorBidi" w:hAnsiTheme="majorBidi" w:cstheme="majorBidi"/>
        </w:rPr>
        <w:t>5</w:t>
      </w:r>
      <w:r w:rsidRPr="002A4D74">
        <w:rPr>
          <w:rFonts w:asciiTheme="majorBidi" w:hAnsiTheme="majorBidi" w:cstheme="majorBidi"/>
        </w:rPr>
        <w:t>]. Food waste; measured as spoilage probability across storage and transport simulations; declines by 25–37%, reflecting improved monitoring and early anomaly detection [</w:t>
      </w:r>
      <w:r w:rsidR="00751828">
        <w:rPr>
          <w:rFonts w:asciiTheme="majorBidi" w:hAnsiTheme="majorBidi" w:cstheme="majorBidi"/>
        </w:rPr>
        <w:t>3</w:t>
      </w:r>
      <w:r w:rsidRPr="002A4D74">
        <w:rPr>
          <w:rFonts w:asciiTheme="majorBidi" w:hAnsiTheme="majorBidi" w:cstheme="majorBidi"/>
        </w:rPr>
        <w:t>].</w:t>
      </w:r>
    </w:p>
    <w:p w14:paraId="4E30D887" w14:textId="77777777" w:rsidR="00D5468E" w:rsidRPr="00E77347" w:rsidRDefault="00D5468E" w:rsidP="00D5468E">
      <w:pPr>
        <w:jc w:val="both"/>
        <w:rPr>
          <w:rFonts w:asciiTheme="majorBidi" w:hAnsiTheme="majorBidi" w:cstheme="majorBidi"/>
          <w:sz w:val="22"/>
          <w:szCs w:val="22"/>
        </w:rPr>
      </w:pPr>
    </w:p>
    <w:p w14:paraId="42EF9FD7" w14:textId="77777777"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4.4 Food Safety and Quality Outcomes</w:t>
      </w:r>
    </w:p>
    <w:p w14:paraId="7DD3CB0D" w14:textId="77777777"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4.4.1 Contamination Detection Accuracy</w:t>
      </w:r>
    </w:p>
    <w:p w14:paraId="4121AAA8" w14:textId="13CE5B34" w:rsidR="00D5468E" w:rsidRPr="002A4D74" w:rsidRDefault="00D5468E" w:rsidP="00D5468E">
      <w:pPr>
        <w:jc w:val="both"/>
        <w:rPr>
          <w:rFonts w:asciiTheme="majorBidi" w:hAnsiTheme="majorBidi" w:cstheme="majorBidi"/>
        </w:rPr>
      </w:pPr>
      <w:r w:rsidRPr="002A4D74">
        <w:rPr>
          <w:rFonts w:asciiTheme="majorBidi" w:hAnsiTheme="majorBidi" w:cstheme="majorBidi"/>
        </w:rPr>
        <w:t>AI-based classification models demonstrate high performance in contamination and spoilage detection tasks. CNN-based image analysis achieves classification accuracies exceeding 93%, with F1-scores consistently above 0.90 across simulation runs [</w:t>
      </w:r>
      <w:r w:rsidR="00751828">
        <w:rPr>
          <w:rFonts w:asciiTheme="majorBidi" w:hAnsiTheme="majorBidi" w:cstheme="majorBidi"/>
        </w:rPr>
        <w:t>32</w:t>
      </w:r>
      <w:r w:rsidRPr="002A4D74">
        <w:rPr>
          <w:rFonts w:asciiTheme="majorBidi" w:hAnsiTheme="majorBidi" w:cstheme="majorBidi"/>
        </w:rPr>
        <w:t>]. These results align with recent experimental findings using hyperspectral and multispectral sensing modalities [</w:t>
      </w:r>
      <w:r w:rsidR="00751828">
        <w:rPr>
          <w:rFonts w:asciiTheme="majorBidi" w:hAnsiTheme="majorBidi" w:cstheme="majorBidi"/>
        </w:rPr>
        <w:t>20</w:t>
      </w:r>
      <w:r w:rsidRPr="002A4D74">
        <w:rPr>
          <w:rFonts w:asciiTheme="majorBidi" w:hAnsiTheme="majorBidi" w:cstheme="majorBidi"/>
        </w:rPr>
        <w:t>].</w:t>
      </w:r>
    </w:p>
    <w:p w14:paraId="439CCF77" w14:textId="77777777" w:rsidR="00D5468E" w:rsidRPr="00E77347" w:rsidRDefault="00D5468E" w:rsidP="00D5468E">
      <w:pPr>
        <w:jc w:val="both"/>
        <w:rPr>
          <w:rFonts w:asciiTheme="majorBidi" w:hAnsiTheme="majorBidi" w:cstheme="majorBidi"/>
          <w:sz w:val="22"/>
          <w:szCs w:val="22"/>
        </w:rPr>
      </w:pPr>
    </w:p>
    <w:p w14:paraId="1DBD5C02" w14:textId="77777777" w:rsidR="002A4D74" w:rsidRDefault="002A4D74" w:rsidP="002A4D74">
      <w:pPr>
        <w:jc w:val="both"/>
        <w:rPr>
          <w:rFonts w:asciiTheme="majorBidi" w:hAnsiTheme="majorBidi" w:cstheme="majorBidi"/>
          <w:b/>
          <w:bCs/>
          <w:sz w:val="18"/>
          <w:szCs w:val="18"/>
        </w:rPr>
      </w:pPr>
    </w:p>
    <w:p w14:paraId="20CE28FB" w14:textId="77777777" w:rsidR="00B24FCB" w:rsidRDefault="00B24FCB" w:rsidP="002A4D74">
      <w:pPr>
        <w:jc w:val="both"/>
        <w:rPr>
          <w:rFonts w:asciiTheme="majorBidi" w:hAnsiTheme="majorBidi" w:cstheme="majorBidi"/>
          <w:b/>
          <w:bCs/>
          <w:sz w:val="18"/>
          <w:szCs w:val="18"/>
        </w:rPr>
      </w:pPr>
    </w:p>
    <w:p w14:paraId="46FF6006" w14:textId="77777777" w:rsidR="00B24FCB" w:rsidRDefault="00B24FCB" w:rsidP="002A4D74">
      <w:pPr>
        <w:jc w:val="both"/>
        <w:rPr>
          <w:rFonts w:asciiTheme="majorBidi" w:hAnsiTheme="majorBidi" w:cstheme="majorBidi"/>
          <w:b/>
          <w:bCs/>
          <w:sz w:val="18"/>
          <w:szCs w:val="18"/>
        </w:rPr>
      </w:pPr>
    </w:p>
    <w:p w14:paraId="63925E9B" w14:textId="77777777" w:rsidR="00B24FCB" w:rsidRDefault="00B24FCB" w:rsidP="002A4D74">
      <w:pPr>
        <w:jc w:val="both"/>
        <w:rPr>
          <w:rFonts w:asciiTheme="majorBidi" w:hAnsiTheme="majorBidi" w:cstheme="majorBidi"/>
          <w:b/>
          <w:bCs/>
          <w:sz w:val="18"/>
          <w:szCs w:val="18"/>
        </w:rPr>
      </w:pPr>
    </w:p>
    <w:p w14:paraId="4DD04D57" w14:textId="4E13AAF5" w:rsidR="00D5468E" w:rsidRPr="002A4D74" w:rsidRDefault="00D5468E" w:rsidP="002A4D74">
      <w:pPr>
        <w:jc w:val="both"/>
        <w:rPr>
          <w:rFonts w:asciiTheme="majorBidi" w:hAnsiTheme="majorBidi" w:cstheme="majorBidi"/>
          <w:b/>
          <w:bCs/>
          <w:sz w:val="18"/>
          <w:szCs w:val="18"/>
        </w:rPr>
      </w:pPr>
      <w:r w:rsidRPr="002A4D74">
        <w:rPr>
          <w:rFonts w:asciiTheme="majorBidi" w:hAnsiTheme="majorBidi" w:cstheme="majorBidi"/>
          <w:b/>
          <w:bCs/>
          <w:sz w:val="18"/>
          <w:szCs w:val="18"/>
        </w:rPr>
        <w:t>Table 6</w:t>
      </w:r>
      <w:r w:rsidR="002A4D74" w:rsidRPr="002A4D74">
        <w:rPr>
          <w:rFonts w:asciiTheme="majorBidi" w:hAnsiTheme="majorBidi" w:cstheme="majorBidi"/>
          <w:b/>
          <w:bCs/>
          <w:sz w:val="18"/>
          <w:szCs w:val="18"/>
        </w:rPr>
        <w:t xml:space="preserve">: </w:t>
      </w:r>
      <w:r w:rsidRPr="002A4D74">
        <w:rPr>
          <w:rFonts w:asciiTheme="majorBidi" w:hAnsiTheme="majorBidi" w:cstheme="majorBidi"/>
          <w:b/>
          <w:bCs/>
          <w:sz w:val="18"/>
          <w:szCs w:val="18"/>
        </w:rPr>
        <w:t>Food safety detection performance metrics for AI classification models.</w:t>
      </w:r>
    </w:p>
    <w:tbl>
      <w:tblPr>
        <w:tblStyle w:val="TableGrid"/>
        <w:tblW w:w="7003" w:type="dxa"/>
        <w:tblInd w:w="1081" w:type="dxa"/>
        <w:tblLook w:val="04A0" w:firstRow="1" w:lastRow="0" w:firstColumn="1" w:lastColumn="0" w:noHBand="0" w:noVBand="1"/>
      </w:tblPr>
      <w:tblGrid>
        <w:gridCol w:w="2409"/>
        <w:gridCol w:w="1553"/>
        <w:gridCol w:w="1114"/>
        <w:gridCol w:w="837"/>
        <w:gridCol w:w="1090"/>
      </w:tblGrid>
      <w:tr w:rsidR="00D5468E" w:rsidRPr="00B24FCB" w14:paraId="3BFD81C9" w14:textId="77777777" w:rsidTr="002A4D74">
        <w:trPr>
          <w:trHeight w:val="418"/>
        </w:trPr>
        <w:tc>
          <w:tcPr>
            <w:tcW w:w="0" w:type="auto"/>
            <w:hideMark/>
          </w:tcPr>
          <w:p w14:paraId="4B33F1E0" w14:textId="77777777" w:rsidR="00D5468E" w:rsidRPr="00B24FCB" w:rsidRDefault="00D5468E" w:rsidP="00B24FCB">
            <w:pPr>
              <w:jc w:val="center"/>
              <w:rPr>
                <w:rFonts w:cs="Times New Roman"/>
                <w:b/>
                <w:bCs/>
                <w:noProof w:val="0"/>
                <w:sz w:val="18"/>
                <w:szCs w:val="18"/>
              </w:rPr>
            </w:pPr>
            <w:r w:rsidRPr="00B24FCB">
              <w:rPr>
                <w:rFonts w:cs="Times New Roman"/>
                <w:b/>
                <w:bCs/>
                <w:noProof w:val="0"/>
                <w:sz w:val="18"/>
                <w:szCs w:val="18"/>
              </w:rPr>
              <w:t>Model/Modality</w:t>
            </w:r>
          </w:p>
        </w:tc>
        <w:tc>
          <w:tcPr>
            <w:tcW w:w="0" w:type="auto"/>
            <w:hideMark/>
          </w:tcPr>
          <w:p w14:paraId="22D2EE1A" w14:textId="77777777" w:rsidR="00D5468E" w:rsidRPr="00B24FCB" w:rsidRDefault="00D5468E" w:rsidP="00B24FCB">
            <w:pPr>
              <w:jc w:val="center"/>
              <w:rPr>
                <w:rFonts w:cs="Times New Roman"/>
                <w:b/>
                <w:bCs/>
                <w:noProof w:val="0"/>
                <w:sz w:val="18"/>
                <w:szCs w:val="18"/>
              </w:rPr>
            </w:pPr>
            <w:r w:rsidRPr="00B24FCB">
              <w:rPr>
                <w:rFonts w:cs="Times New Roman"/>
                <w:b/>
                <w:bCs/>
                <w:noProof w:val="0"/>
                <w:sz w:val="18"/>
                <w:szCs w:val="18"/>
              </w:rPr>
              <w:t>Accuracy (%)</w:t>
            </w:r>
          </w:p>
        </w:tc>
        <w:tc>
          <w:tcPr>
            <w:tcW w:w="0" w:type="auto"/>
            <w:hideMark/>
          </w:tcPr>
          <w:p w14:paraId="1105191D" w14:textId="77777777" w:rsidR="00D5468E" w:rsidRPr="00B24FCB" w:rsidRDefault="00D5468E" w:rsidP="00B24FCB">
            <w:pPr>
              <w:jc w:val="center"/>
              <w:rPr>
                <w:rFonts w:cs="Times New Roman"/>
                <w:b/>
                <w:bCs/>
                <w:noProof w:val="0"/>
                <w:sz w:val="18"/>
                <w:szCs w:val="18"/>
              </w:rPr>
            </w:pPr>
            <w:r w:rsidRPr="00B24FCB">
              <w:rPr>
                <w:rFonts w:cs="Times New Roman"/>
                <w:b/>
                <w:bCs/>
                <w:noProof w:val="0"/>
                <w:sz w:val="18"/>
                <w:szCs w:val="18"/>
              </w:rPr>
              <w:t>Precision</w:t>
            </w:r>
          </w:p>
        </w:tc>
        <w:tc>
          <w:tcPr>
            <w:tcW w:w="0" w:type="auto"/>
            <w:hideMark/>
          </w:tcPr>
          <w:p w14:paraId="0BA133D2" w14:textId="77777777" w:rsidR="00D5468E" w:rsidRPr="00B24FCB" w:rsidRDefault="00D5468E" w:rsidP="00B24FCB">
            <w:pPr>
              <w:jc w:val="center"/>
              <w:rPr>
                <w:rFonts w:cs="Times New Roman"/>
                <w:b/>
                <w:bCs/>
                <w:noProof w:val="0"/>
                <w:sz w:val="18"/>
                <w:szCs w:val="18"/>
              </w:rPr>
            </w:pPr>
            <w:r w:rsidRPr="00B24FCB">
              <w:rPr>
                <w:rFonts w:cs="Times New Roman"/>
                <w:b/>
                <w:bCs/>
                <w:noProof w:val="0"/>
                <w:sz w:val="18"/>
                <w:szCs w:val="18"/>
              </w:rPr>
              <w:t>Recall</w:t>
            </w:r>
          </w:p>
        </w:tc>
        <w:tc>
          <w:tcPr>
            <w:tcW w:w="0" w:type="auto"/>
            <w:hideMark/>
          </w:tcPr>
          <w:p w14:paraId="424DC14D" w14:textId="77777777" w:rsidR="00D5468E" w:rsidRPr="00B24FCB" w:rsidRDefault="00D5468E" w:rsidP="00B24FCB">
            <w:pPr>
              <w:jc w:val="center"/>
              <w:rPr>
                <w:rFonts w:cs="Times New Roman"/>
                <w:b/>
                <w:bCs/>
                <w:noProof w:val="0"/>
                <w:sz w:val="18"/>
                <w:szCs w:val="18"/>
              </w:rPr>
            </w:pPr>
            <w:r w:rsidRPr="00B24FCB">
              <w:rPr>
                <w:rFonts w:cs="Times New Roman"/>
                <w:b/>
                <w:bCs/>
                <w:noProof w:val="0"/>
                <w:sz w:val="18"/>
                <w:szCs w:val="18"/>
              </w:rPr>
              <w:t>F1-Score</w:t>
            </w:r>
          </w:p>
        </w:tc>
      </w:tr>
      <w:tr w:rsidR="00D5468E" w:rsidRPr="00B24FCB" w14:paraId="6C5B5EA3" w14:textId="77777777" w:rsidTr="002A4D74">
        <w:trPr>
          <w:trHeight w:val="418"/>
        </w:trPr>
        <w:tc>
          <w:tcPr>
            <w:tcW w:w="0" w:type="auto"/>
            <w:hideMark/>
          </w:tcPr>
          <w:p w14:paraId="0768DB8F"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CNN (Hyperspectral)</w:t>
            </w:r>
          </w:p>
        </w:tc>
        <w:tc>
          <w:tcPr>
            <w:tcW w:w="0" w:type="auto"/>
            <w:hideMark/>
          </w:tcPr>
          <w:p w14:paraId="5CBBA0C3"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94–96</w:t>
            </w:r>
          </w:p>
        </w:tc>
        <w:tc>
          <w:tcPr>
            <w:tcW w:w="0" w:type="auto"/>
            <w:hideMark/>
          </w:tcPr>
          <w:p w14:paraId="2513524D"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0.93</w:t>
            </w:r>
          </w:p>
        </w:tc>
        <w:tc>
          <w:tcPr>
            <w:tcW w:w="0" w:type="auto"/>
            <w:hideMark/>
          </w:tcPr>
          <w:p w14:paraId="7149184E"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0.92</w:t>
            </w:r>
          </w:p>
        </w:tc>
        <w:tc>
          <w:tcPr>
            <w:tcW w:w="0" w:type="auto"/>
            <w:hideMark/>
          </w:tcPr>
          <w:p w14:paraId="1C365B5A"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0.92</w:t>
            </w:r>
          </w:p>
        </w:tc>
      </w:tr>
      <w:tr w:rsidR="00D5468E" w:rsidRPr="00B24FCB" w14:paraId="4138E327" w14:textId="77777777" w:rsidTr="002A4D74">
        <w:trPr>
          <w:trHeight w:val="418"/>
        </w:trPr>
        <w:tc>
          <w:tcPr>
            <w:tcW w:w="0" w:type="auto"/>
            <w:hideMark/>
          </w:tcPr>
          <w:p w14:paraId="084A9658"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CNN (Multispectral)</w:t>
            </w:r>
          </w:p>
        </w:tc>
        <w:tc>
          <w:tcPr>
            <w:tcW w:w="0" w:type="auto"/>
            <w:hideMark/>
          </w:tcPr>
          <w:p w14:paraId="30765CA6"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93–95</w:t>
            </w:r>
          </w:p>
        </w:tc>
        <w:tc>
          <w:tcPr>
            <w:tcW w:w="0" w:type="auto"/>
            <w:hideMark/>
          </w:tcPr>
          <w:p w14:paraId="47CD2C5D"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0.92</w:t>
            </w:r>
          </w:p>
        </w:tc>
        <w:tc>
          <w:tcPr>
            <w:tcW w:w="0" w:type="auto"/>
            <w:hideMark/>
          </w:tcPr>
          <w:p w14:paraId="252BC062"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0.91</w:t>
            </w:r>
          </w:p>
        </w:tc>
        <w:tc>
          <w:tcPr>
            <w:tcW w:w="0" w:type="auto"/>
            <w:hideMark/>
          </w:tcPr>
          <w:p w14:paraId="1A8025DA"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0.91</w:t>
            </w:r>
          </w:p>
        </w:tc>
      </w:tr>
      <w:tr w:rsidR="00D5468E" w:rsidRPr="00B24FCB" w14:paraId="288A3834" w14:textId="77777777" w:rsidTr="002A4D74">
        <w:trPr>
          <w:trHeight w:val="418"/>
        </w:trPr>
        <w:tc>
          <w:tcPr>
            <w:tcW w:w="0" w:type="auto"/>
            <w:hideMark/>
          </w:tcPr>
          <w:p w14:paraId="3E6F2988"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Ensemble (Multi-modal)</w:t>
            </w:r>
          </w:p>
        </w:tc>
        <w:tc>
          <w:tcPr>
            <w:tcW w:w="0" w:type="auto"/>
            <w:hideMark/>
          </w:tcPr>
          <w:p w14:paraId="4999227E"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&gt;96</w:t>
            </w:r>
          </w:p>
        </w:tc>
        <w:tc>
          <w:tcPr>
            <w:tcW w:w="0" w:type="auto"/>
            <w:hideMark/>
          </w:tcPr>
          <w:p w14:paraId="12CD1EAF"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0.95</w:t>
            </w:r>
          </w:p>
        </w:tc>
        <w:tc>
          <w:tcPr>
            <w:tcW w:w="0" w:type="auto"/>
            <w:hideMark/>
          </w:tcPr>
          <w:p w14:paraId="621ECA0F"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0.94</w:t>
            </w:r>
          </w:p>
        </w:tc>
        <w:tc>
          <w:tcPr>
            <w:tcW w:w="0" w:type="auto"/>
            <w:hideMark/>
          </w:tcPr>
          <w:p w14:paraId="523A7AEA" w14:textId="77777777" w:rsidR="00D5468E" w:rsidRPr="00B24FCB" w:rsidRDefault="00D5468E" w:rsidP="00B24FCB">
            <w:pPr>
              <w:jc w:val="center"/>
              <w:rPr>
                <w:rFonts w:cs="Times New Roman"/>
                <w:noProof w:val="0"/>
                <w:sz w:val="18"/>
                <w:szCs w:val="18"/>
              </w:rPr>
            </w:pPr>
            <w:r w:rsidRPr="00B24FCB">
              <w:rPr>
                <w:rFonts w:cs="Times New Roman"/>
                <w:noProof w:val="0"/>
                <w:sz w:val="18"/>
                <w:szCs w:val="18"/>
              </w:rPr>
              <w:t>0.94</w:t>
            </w:r>
          </w:p>
        </w:tc>
      </w:tr>
    </w:tbl>
    <w:p w14:paraId="599AEA85" w14:textId="1EE38684" w:rsidR="00D5468E" w:rsidRPr="00E77347" w:rsidRDefault="00D5468E" w:rsidP="00D5468E">
      <w:pPr>
        <w:jc w:val="both"/>
        <w:rPr>
          <w:rFonts w:asciiTheme="majorBidi" w:hAnsiTheme="majorBidi" w:cstheme="majorBidi"/>
          <w:sz w:val="22"/>
          <w:szCs w:val="22"/>
        </w:rPr>
      </w:pPr>
    </w:p>
    <w:p w14:paraId="2723E309" w14:textId="1EF88B12"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4.4.2 Traceability and Risk Reduction</w:t>
      </w:r>
    </w:p>
    <w:p w14:paraId="26C98745" w14:textId="4EB35857" w:rsidR="00D5468E" w:rsidRPr="002A4D74" w:rsidRDefault="00D5468E" w:rsidP="00D5468E">
      <w:pPr>
        <w:jc w:val="both"/>
        <w:rPr>
          <w:rFonts w:asciiTheme="majorBidi" w:hAnsiTheme="majorBidi" w:cstheme="majorBidi"/>
        </w:rPr>
      </w:pPr>
      <w:r w:rsidRPr="002A4D74">
        <w:rPr>
          <w:rFonts w:asciiTheme="majorBidi" w:hAnsiTheme="majorBidi" w:cstheme="majorBidi"/>
        </w:rPr>
        <w:t>The integration of IoT sensing with AI analytics significantly enhances traceability effectiveness. Simulated recall precision improves by 40–55% compared to baseline systems, reducing the scope and cost of contamination response measures [</w:t>
      </w:r>
      <w:r w:rsidR="00751828">
        <w:rPr>
          <w:rFonts w:asciiTheme="majorBidi" w:hAnsiTheme="majorBidi" w:cstheme="majorBidi"/>
        </w:rPr>
        <w:t>19</w:t>
      </w:r>
      <w:r w:rsidRPr="002A4D74">
        <w:rPr>
          <w:rFonts w:asciiTheme="majorBidi" w:hAnsiTheme="majorBidi" w:cstheme="majorBidi"/>
        </w:rPr>
        <w:t>]. These improvements are particularly relevant in complex, multi-stage supply chains [</w:t>
      </w:r>
      <w:r w:rsidR="00751828">
        <w:rPr>
          <w:rFonts w:asciiTheme="majorBidi" w:hAnsiTheme="majorBidi" w:cstheme="majorBidi"/>
        </w:rPr>
        <w:t>16</w:t>
      </w:r>
      <w:r w:rsidRPr="002A4D74">
        <w:rPr>
          <w:rFonts w:asciiTheme="majorBidi" w:hAnsiTheme="majorBidi" w:cstheme="majorBidi"/>
        </w:rPr>
        <w:t>].</w:t>
      </w:r>
    </w:p>
    <w:p w14:paraId="1C5721FC" w14:textId="4B3A877A" w:rsidR="00D5468E" w:rsidRPr="00E77347" w:rsidRDefault="00D5468E" w:rsidP="00D5468E">
      <w:pPr>
        <w:jc w:val="both"/>
        <w:rPr>
          <w:rFonts w:asciiTheme="majorBidi" w:hAnsiTheme="majorBidi" w:cstheme="majorBidi"/>
          <w:sz w:val="22"/>
          <w:szCs w:val="22"/>
        </w:rPr>
      </w:pPr>
    </w:p>
    <w:p w14:paraId="55BF71B3" w14:textId="1A8EBA3D"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4.5 Composite Performance Index</w:t>
      </w:r>
    </w:p>
    <w:p w14:paraId="2C79BFDD" w14:textId="7EAE7E9D" w:rsidR="00D5468E" w:rsidRPr="002A4D74" w:rsidRDefault="00D5468E" w:rsidP="00D5468E">
      <w:pPr>
        <w:jc w:val="both"/>
        <w:rPr>
          <w:rFonts w:asciiTheme="majorBidi" w:hAnsiTheme="majorBidi" w:cstheme="majorBidi"/>
        </w:rPr>
      </w:pPr>
      <w:r w:rsidRPr="002A4D74">
        <w:rPr>
          <w:rFonts w:asciiTheme="majorBidi" w:hAnsiTheme="majorBidi" w:cstheme="majorBidi"/>
        </w:rPr>
        <w:t>To enable holistic comparison, normalized resilience, sustainability, and food safety metrics are aggregated into a composite performance index. The fully integrated AI–IoT system outperforms baseline management by 38–52%, depending on climate stress intensity [</w:t>
      </w:r>
      <w:r w:rsidR="00751828">
        <w:rPr>
          <w:rFonts w:asciiTheme="majorBidi" w:hAnsiTheme="majorBidi" w:cstheme="majorBidi"/>
        </w:rPr>
        <w:t>26</w:t>
      </w:r>
      <w:r w:rsidRPr="002A4D74">
        <w:rPr>
          <w:rFonts w:asciiTheme="majorBidi" w:hAnsiTheme="majorBidi" w:cstheme="majorBidi"/>
        </w:rPr>
        <w:t>]. Partial digitalization yields intermediate improvements, reinforcing the importance of integrated analytics rather than isolated technological adoption [</w:t>
      </w:r>
      <w:r w:rsidR="00751828">
        <w:rPr>
          <w:rFonts w:asciiTheme="majorBidi" w:hAnsiTheme="majorBidi" w:cstheme="majorBidi"/>
        </w:rPr>
        <w:t>10</w:t>
      </w:r>
      <w:r w:rsidRPr="002A4D74">
        <w:rPr>
          <w:rFonts w:asciiTheme="majorBidi" w:hAnsiTheme="majorBidi" w:cstheme="majorBidi"/>
        </w:rPr>
        <w:t>].</w:t>
      </w:r>
    </w:p>
    <w:p w14:paraId="55C240F9" w14:textId="16DEAD80" w:rsidR="00D5468E" w:rsidRPr="00E77347" w:rsidRDefault="00D5468E" w:rsidP="00D5468E">
      <w:pPr>
        <w:jc w:val="both"/>
        <w:rPr>
          <w:rFonts w:asciiTheme="majorBidi" w:hAnsiTheme="majorBidi" w:cstheme="majorBidi"/>
          <w:sz w:val="22"/>
          <w:szCs w:val="22"/>
        </w:rPr>
      </w:pPr>
    </w:p>
    <w:p w14:paraId="6F965D28" w14:textId="77B2B7C0" w:rsidR="00D5468E" w:rsidRPr="002A4D74" w:rsidRDefault="00B93FA7" w:rsidP="002A4D74">
      <w:pPr>
        <w:jc w:val="both"/>
        <w:rPr>
          <w:rFonts w:asciiTheme="majorBidi" w:hAnsiTheme="majorBidi" w:cstheme="majorBidi"/>
          <w:b/>
          <w:bCs/>
          <w:sz w:val="18"/>
          <w:szCs w:val="18"/>
        </w:rPr>
      </w:pPr>
      <w:r w:rsidRPr="002A4D74">
        <w:rPr>
          <w:rFonts w:asciiTheme="majorBidi" w:hAnsiTheme="majorBidi" w:cstheme="majorBidi"/>
          <w:b/>
          <w:bCs/>
          <w:sz w:val="18"/>
          <w:szCs w:val="18"/>
        </w:rPr>
        <w:drawing>
          <wp:anchor distT="0" distB="0" distL="114300" distR="114300" simplePos="0" relativeHeight="251663360" behindDoc="0" locked="0" layoutInCell="1" allowOverlap="1" wp14:anchorId="4908B548" wp14:editId="2D997280">
            <wp:simplePos x="0" y="0"/>
            <wp:positionH relativeFrom="column">
              <wp:posOffset>470535</wp:posOffset>
            </wp:positionH>
            <wp:positionV relativeFrom="page">
              <wp:posOffset>4448175</wp:posOffset>
            </wp:positionV>
            <wp:extent cx="5080635" cy="2802255"/>
            <wp:effectExtent l="0" t="0" r="5715"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80635" cy="2802255"/>
                    </a:xfrm>
                    <a:prstGeom prst="rect">
                      <a:avLst/>
                    </a:prstGeom>
                  </pic:spPr>
                </pic:pic>
              </a:graphicData>
            </a:graphic>
          </wp:anchor>
        </w:drawing>
      </w:r>
      <w:r w:rsidR="00D5468E" w:rsidRPr="002A4D74">
        <w:rPr>
          <w:rFonts w:asciiTheme="majorBidi" w:hAnsiTheme="majorBidi" w:cstheme="majorBidi"/>
          <w:b/>
          <w:bCs/>
          <w:sz w:val="18"/>
          <w:szCs w:val="18"/>
        </w:rPr>
        <w:t>Figure 7</w:t>
      </w:r>
      <w:r w:rsidR="002A4D74" w:rsidRPr="002A4D74">
        <w:rPr>
          <w:rFonts w:asciiTheme="majorBidi" w:hAnsiTheme="majorBidi" w:cstheme="majorBidi"/>
          <w:b/>
          <w:bCs/>
          <w:sz w:val="18"/>
          <w:szCs w:val="18"/>
        </w:rPr>
        <w:t xml:space="preserve">: </w:t>
      </w:r>
      <w:r w:rsidR="00D5468E" w:rsidRPr="002A4D74">
        <w:rPr>
          <w:rFonts w:asciiTheme="majorBidi" w:hAnsiTheme="majorBidi" w:cstheme="majorBidi"/>
          <w:b/>
          <w:bCs/>
          <w:sz w:val="18"/>
          <w:szCs w:val="18"/>
        </w:rPr>
        <w:t>Composite performance index across scenarios.</w:t>
      </w:r>
    </w:p>
    <w:p w14:paraId="4164F81E" w14:textId="55F620C4" w:rsidR="00D5468E" w:rsidRPr="00E77347" w:rsidRDefault="00D5468E" w:rsidP="00D5468E">
      <w:pPr>
        <w:jc w:val="both"/>
        <w:rPr>
          <w:rFonts w:asciiTheme="majorBidi" w:hAnsiTheme="majorBidi" w:cstheme="majorBidi"/>
          <w:sz w:val="22"/>
          <w:szCs w:val="22"/>
        </w:rPr>
      </w:pPr>
    </w:p>
    <w:p w14:paraId="598F7B3A" w14:textId="3BEBC58F"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4.6 Robustness and Sensitivity Analysis</w:t>
      </w:r>
    </w:p>
    <w:p w14:paraId="70774239" w14:textId="3C5D3B7C" w:rsidR="00D5468E" w:rsidRPr="002A4D74" w:rsidRDefault="00D5468E" w:rsidP="00D5468E">
      <w:pPr>
        <w:jc w:val="both"/>
        <w:rPr>
          <w:rFonts w:asciiTheme="majorBidi" w:hAnsiTheme="majorBidi" w:cstheme="majorBidi"/>
        </w:rPr>
      </w:pPr>
      <w:r w:rsidRPr="002A4D74">
        <w:rPr>
          <w:rFonts w:asciiTheme="majorBidi" w:hAnsiTheme="majorBidi" w:cstheme="majorBidi"/>
        </w:rPr>
        <w:t>Monte Carlo sensitivity analysis confirms that AI-enabled systems maintain performance advantages across a wide range of sensor noise levels and data uncertainty conditions [</w:t>
      </w:r>
      <w:r w:rsidR="00751828">
        <w:rPr>
          <w:rFonts w:asciiTheme="majorBidi" w:hAnsiTheme="majorBidi" w:cstheme="majorBidi"/>
        </w:rPr>
        <w:t>14</w:t>
      </w:r>
      <w:r w:rsidRPr="002A4D74">
        <w:rPr>
          <w:rFonts w:asciiTheme="majorBidi" w:hAnsiTheme="majorBidi" w:cstheme="majorBidi"/>
        </w:rPr>
        <w:t>]. Performance degradation under increased noise remains below 10%, demonstrating model robustness consistent with recent findings in AI-driven agricultural systems [</w:t>
      </w:r>
      <w:r w:rsidR="00751828">
        <w:rPr>
          <w:rFonts w:asciiTheme="majorBidi" w:hAnsiTheme="majorBidi" w:cstheme="majorBidi"/>
        </w:rPr>
        <w:t>11</w:t>
      </w:r>
      <w:r w:rsidRPr="002A4D74">
        <w:rPr>
          <w:rFonts w:asciiTheme="majorBidi" w:hAnsiTheme="majorBidi" w:cstheme="majorBidi"/>
        </w:rPr>
        <w:t>].</w:t>
      </w:r>
    </w:p>
    <w:p w14:paraId="419B20C5" w14:textId="77777777" w:rsidR="00D5468E" w:rsidRPr="00E77347" w:rsidRDefault="00D5468E" w:rsidP="00D5468E">
      <w:pPr>
        <w:jc w:val="both"/>
        <w:rPr>
          <w:rFonts w:asciiTheme="majorBidi" w:hAnsiTheme="majorBidi" w:cstheme="majorBidi"/>
          <w:sz w:val="22"/>
          <w:szCs w:val="22"/>
        </w:rPr>
      </w:pPr>
    </w:p>
    <w:p w14:paraId="42C76AB6" w14:textId="7C6D824B" w:rsidR="002A4D74" w:rsidRPr="00751828" w:rsidRDefault="00D5468E" w:rsidP="00751828">
      <w:pPr>
        <w:pStyle w:val="ListParagraph"/>
        <w:numPr>
          <w:ilvl w:val="0"/>
          <w:numId w:val="16"/>
        </w:numPr>
        <w:jc w:val="both"/>
        <w:rPr>
          <w:rFonts w:asciiTheme="majorBidi" w:hAnsiTheme="majorBidi" w:cstheme="majorBidi"/>
          <w:b/>
          <w:bCs/>
          <w:sz w:val="22"/>
          <w:szCs w:val="22"/>
        </w:rPr>
      </w:pPr>
      <w:r w:rsidRPr="002A4D74">
        <w:rPr>
          <w:rFonts w:asciiTheme="majorBidi" w:hAnsiTheme="majorBidi" w:cstheme="majorBidi"/>
          <w:b/>
          <w:bCs/>
          <w:sz w:val="22"/>
          <w:szCs w:val="22"/>
        </w:rPr>
        <w:t>Discussion</w:t>
      </w:r>
    </w:p>
    <w:p w14:paraId="784911F6" w14:textId="77777777"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5.1 Interpretation of Climate Resilience Gains</w:t>
      </w:r>
    </w:p>
    <w:p w14:paraId="26430B8C" w14:textId="3423D39E" w:rsidR="00D5468E" w:rsidRPr="002A4D74" w:rsidRDefault="00D5468E" w:rsidP="00D5468E">
      <w:pPr>
        <w:jc w:val="both"/>
        <w:rPr>
          <w:rFonts w:asciiTheme="majorBidi" w:hAnsiTheme="majorBidi" w:cstheme="majorBidi"/>
        </w:rPr>
      </w:pPr>
      <w:r w:rsidRPr="002A4D74">
        <w:rPr>
          <w:rFonts w:asciiTheme="majorBidi" w:hAnsiTheme="majorBidi" w:cstheme="majorBidi"/>
        </w:rPr>
        <w:t>The simulation results demonstrate that fully integrated AI–IoT systems substantially enhance yield stability and recovery after climate shocks, confirming the effectiveness of predictive and adaptive technologies in agricultural resilience [1][2]. These findings align with recent high-impact studies reporting that AI-driven forecasting and decision support can reduce climate-induced yield variability by 30–40% [</w:t>
      </w:r>
      <w:r w:rsidR="00751828">
        <w:rPr>
          <w:rFonts w:asciiTheme="majorBidi" w:hAnsiTheme="majorBidi" w:cstheme="majorBidi"/>
        </w:rPr>
        <w:t>10</w:t>
      </w:r>
      <w:r w:rsidRPr="002A4D74">
        <w:rPr>
          <w:rFonts w:asciiTheme="majorBidi" w:hAnsiTheme="majorBidi" w:cstheme="majorBidi"/>
        </w:rPr>
        <w:t>].</w:t>
      </w:r>
    </w:p>
    <w:p w14:paraId="247F45C8" w14:textId="77777777" w:rsidR="002A4D74" w:rsidRDefault="00D5468E" w:rsidP="002A4D74">
      <w:pPr>
        <w:jc w:val="both"/>
        <w:rPr>
          <w:rFonts w:asciiTheme="majorBidi" w:hAnsiTheme="majorBidi" w:cstheme="majorBidi"/>
        </w:rPr>
      </w:pPr>
      <w:r w:rsidRPr="002A4D74">
        <w:rPr>
          <w:rFonts w:asciiTheme="majorBidi" w:hAnsiTheme="majorBidi" w:cstheme="majorBidi"/>
        </w:rPr>
        <w:t>The observed performance gains stem from the ability of AI models to integrate multi-source data, including soil, weather, and crop health, and to generate real-time intervention recommendations. For</w:t>
      </w:r>
      <w:r w:rsidR="002A4D74">
        <w:rPr>
          <w:rFonts w:asciiTheme="majorBidi" w:hAnsiTheme="majorBidi" w:cstheme="majorBidi"/>
        </w:rPr>
        <w:t xml:space="preserve"> </w:t>
      </w:r>
      <w:r w:rsidRPr="002A4D74">
        <w:rPr>
          <w:rFonts w:asciiTheme="majorBidi" w:hAnsiTheme="majorBidi" w:cstheme="majorBidi"/>
        </w:rPr>
        <w:t xml:space="preserve">example, reinforcement learning algorithms dynamically adjusted irrigation schedules based on predicted soil moisture stress, thereby </w:t>
      </w:r>
    </w:p>
    <w:p w14:paraId="68CD4973" w14:textId="77777777" w:rsidR="002A4D74" w:rsidRDefault="002A4D74" w:rsidP="002A4D74">
      <w:pPr>
        <w:jc w:val="both"/>
        <w:rPr>
          <w:rFonts w:asciiTheme="majorBidi" w:hAnsiTheme="majorBidi" w:cstheme="majorBidi"/>
        </w:rPr>
      </w:pPr>
    </w:p>
    <w:p w14:paraId="413CAC45" w14:textId="77777777" w:rsidR="002A4D74" w:rsidRDefault="002A4D74" w:rsidP="002A4D74">
      <w:pPr>
        <w:jc w:val="both"/>
        <w:rPr>
          <w:rFonts w:asciiTheme="majorBidi" w:hAnsiTheme="majorBidi" w:cstheme="majorBidi"/>
        </w:rPr>
      </w:pPr>
    </w:p>
    <w:p w14:paraId="150EE72E" w14:textId="77777777" w:rsidR="00751828" w:rsidRDefault="00751828" w:rsidP="002A4D74">
      <w:pPr>
        <w:jc w:val="both"/>
        <w:rPr>
          <w:rFonts w:asciiTheme="majorBidi" w:hAnsiTheme="majorBidi" w:cstheme="majorBidi"/>
        </w:rPr>
      </w:pPr>
    </w:p>
    <w:p w14:paraId="35C70416" w14:textId="72E59823" w:rsidR="00D5468E" w:rsidRPr="002A4D74" w:rsidRDefault="00D5468E" w:rsidP="002A4D74">
      <w:pPr>
        <w:jc w:val="both"/>
        <w:rPr>
          <w:rFonts w:asciiTheme="majorBidi" w:hAnsiTheme="majorBidi" w:cstheme="majorBidi"/>
        </w:rPr>
      </w:pPr>
      <w:r w:rsidRPr="002A4D74">
        <w:rPr>
          <w:rFonts w:asciiTheme="majorBidi" w:hAnsiTheme="majorBidi" w:cstheme="majorBidi"/>
        </w:rPr>
        <w:t>mitigating drought impacts [</w:t>
      </w:r>
      <w:r w:rsidR="00751828">
        <w:rPr>
          <w:rFonts w:asciiTheme="majorBidi" w:hAnsiTheme="majorBidi" w:cstheme="majorBidi"/>
        </w:rPr>
        <w:t>32</w:t>
      </w:r>
      <w:r w:rsidRPr="002A4D74">
        <w:rPr>
          <w:rFonts w:asciiTheme="majorBidi" w:hAnsiTheme="majorBidi" w:cstheme="majorBidi"/>
        </w:rPr>
        <w:t>]. Such mechanisms illustrate how cyber–physical integration enables anticipatory adaptation, addressing a critical limitation in conventional management approaches [</w:t>
      </w:r>
      <w:r w:rsidR="00751828">
        <w:rPr>
          <w:rFonts w:asciiTheme="majorBidi" w:hAnsiTheme="majorBidi" w:cstheme="majorBidi"/>
        </w:rPr>
        <w:t>20</w:t>
      </w:r>
      <w:r w:rsidRPr="002A4D74">
        <w:rPr>
          <w:rFonts w:asciiTheme="majorBidi" w:hAnsiTheme="majorBidi" w:cstheme="majorBidi"/>
        </w:rPr>
        <w:t>].</w:t>
      </w:r>
    </w:p>
    <w:p w14:paraId="2EF4933D" w14:textId="650F0959" w:rsidR="00D5468E" w:rsidRPr="002A4D74" w:rsidRDefault="00D5468E" w:rsidP="00D5468E">
      <w:pPr>
        <w:jc w:val="both"/>
        <w:rPr>
          <w:rFonts w:asciiTheme="majorBidi" w:hAnsiTheme="majorBidi" w:cstheme="majorBidi"/>
        </w:rPr>
      </w:pPr>
      <w:r w:rsidRPr="002A4D74">
        <w:rPr>
          <w:rFonts w:asciiTheme="majorBidi" w:hAnsiTheme="majorBidi" w:cstheme="majorBidi"/>
        </w:rPr>
        <w:t>Partial digitalization scenarios confirm that sensor deployment alone is insufficient for robust resilience. While continuous monitoring improves situational awareness, actionable insights require intelligent analytics capable of synthesizing complex temporal and spatial datasets [</w:t>
      </w:r>
      <w:r w:rsidR="00751828">
        <w:rPr>
          <w:rFonts w:asciiTheme="majorBidi" w:hAnsiTheme="majorBidi" w:cstheme="majorBidi"/>
        </w:rPr>
        <w:t>31</w:t>
      </w:r>
      <w:r w:rsidRPr="002A4D74">
        <w:rPr>
          <w:rFonts w:asciiTheme="majorBidi" w:hAnsiTheme="majorBidi" w:cstheme="majorBidi"/>
        </w:rPr>
        <w:t>]. This finding underscores the importance of holistic system design, a gap frequently noted in post-2022 literature [</w:t>
      </w:r>
      <w:r w:rsidR="00751828">
        <w:rPr>
          <w:rFonts w:asciiTheme="majorBidi" w:hAnsiTheme="majorBidi" w:cstheme="majorBidi"/>
        </w:rPr>
        <w:t>22</w:t>
      </w:r>
      <w:r w:rsidRPr="002A4D74">
        <w:rPr>
          <w:rFonts w:asciiTheme="majorBidi" w:hAnsiTheme="majorBidi" w:cstheme="majorBidi"/>
        </w:rPr>
        <w:t>].</w:t>
      </w:r>
    </w:p>
    <w:p w14:paraId="77C15D6E" w14:textId="77777777" w:rsidR="00D5468E" w:rsidRPr="00E77347" w:rsidRDefault="00D5468E" w:rsidP="00D5468E">
      <w:pPr>
        <w:jc w:val="both"/>
        <w:rPr>
          <w:rFonts w:asciiTheme="majorBidi" w:hAnsiTheme="majorBidi" w:cstheme="majorBidi"/>
          <w:sz w:val="22"/>
          <w:szCs w:val="22"/>
        </w:rPr>
      </w:pPr>
    </w:p>
    <w:p w14:paraId="502A2FBC" w14:textId="77777777"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5.2 Sustainability and Resource Optimization</w:t>
      </w:r>
    </w:p>
    <w:p w14:paraId="7D7612FD" w14:textId="18C8AA43" w:rsidR="00D5468E" w:rsidRPr="002A4D74" w:rsidRDefault="00D5468E" w:rsidP="00D5468E">
      <w:pPr>
        <w:jc w:val="both"/>
        <w:rPr>
          <w:rFonts w:asciiTheme="majorBidi" w:hAnsiTheme="majorBidi" w:cstheme="majorBidi"/>
        </w:rPr>
      </w:pPr>
      <w:r w:rsidRPr="002A4D74">
        <w:rPr>
          <w:rFonts w:asciiTheme="majorBidi" w:hAnsiTheme="majorBidi" w:cstheme="majorBidi"/>
        </w:rPr>
        <w:t>AI–IoT integration produced significant improvements in water-use efficiency, energy reduction, and waste mitigation. These results are consistent with empirical evidence demonstrating that predictive irrigation and process optimization reduce both resource intensity and environmental impact [</w:t>
      </w:r>
      <w:r w:rsidR="00751828">
        <w:rPr>
          <w:rFonts w:asciiTheme="majorBidi" w:hAnsiTheme="majorBidi" w:cstheme="majorBidi"/>
        </w:rPr>
        <w:t>18</w:t>
      </w:r>
      <w:r w:rsidRPr="002A4D74">
        <w:rPr>
          <w:rFonts w:asciiTheme="majorBidi" w:hAnsiTheme="majorBidi" w:cstheme="majorBidi"/>
        </w:rPr>
        <w:t>][</w:t>
      </w:r>
      <w:r w:rsidR="00751828">
        <w:rPr>
          <w:rFonts w:asciiTheme="majorBidi" w:hAnsiTheme="majorBidi" w:cstheme="majorBidi"/>
        </w:rPr>
        <w:t>7</w:t>
      </w:r>
      <w:r w:rsidRPr="002A4D74">
        <w:rPr>
          <w:rFonts w:asciiTheme="majorBidi" w:hAnsiTheme="majorBidi" w:cstheme="majorBidi"/>
        </w:rPr>
        <w:t>].</w:t>
      </w:r>
    </w:p>
    <w:p w14:paraId="35C36FFE" w14:textId="09404267" w:rsidR="00D5468E" w:rsidRPr="002A4D74" w:rsidRDefault="00D5468E" w:rsidP="00D5468E">
      <w:pPr>
        <w:jc w:val="both"/>
        <w:rPr>
          <w:rFonts w:asciiTheme="majorBidi" w:hAnsiTheme="majorBidi" w:cstheme="majorBidi"/>
        </w:rPr>
      </w:pPr>
      <w:r w:rsidRPr="002A4D74">
        <w:rPr>
          <w:rFonts w:asciiTheme="majorBidi" w:hAnsiTheme="majorBidi" w:cstheme="majorBidi"/>
        </w:rPr>
        <w:t>The composite sustainability index highlights that fully integrated systems outperform partial digitalization and baseline management across all simulated stress levels. This demonstrates that closed-loop feedback between sensing and AI-based decision-making is essential for circular and resource-efficient operations. Notably, the findings align with studies advocating for Industry 4.0–enabled sustainability frameworks, where intelligent process control enhances both productivity and environmental performance [</w:t>
      </w:r>
      <w:r w:rsidR="00751828">
        <w:rPr>
          <w:rFonts w:asciiTheme="majorBidi" w:hAnsiTheme="majorBidi" w:cstheme="majorBidi"/>
        </w:rPr>
        <w:t>13</w:t>
      </w:r>
      <w:r w:rsidRPr="002A4D74">
        <w:rPr>
          <w:rFonts w:asciiTheme="majorBidi" w:hAnsiTheme="majorBidi" w:cstheme="majorBidi"/>
        </w:rPr>
        <w:t>][</w:t>
      </w:r>
      <w:r w:rsidR="00751828">
        <w:rPr>
          <w:rFonts w:asciiTheme="majorBidi" w:hAnsiTheme="majorBidi" w:cstheme="majorBidi"/>
        </w:rPr>
        <w:t>24</w:t>
      </w:r>
      <w:r w:rsidRPr="002A4D74">
        <w:rPr>
          <w:rFonts w:asciiTheme="majorBidi" w:hAnsiTheme="majorBidi" w:cstheme="majorBidi"/>
        </w:rPr>
        <w:t>].</w:t>
      </w:r>
    </w:p>
    <w:p w14:paraId="25AC3552" w14:textId="61C8DAE9" w:rsidR="00D5468E" w:rsidRPr="002A4D74" w:rsidRDefault="00D5468E" w:rsidP="00D5468E">
      <w:pPr>
        <w:jc w:val="both"/>
        <w:rPr>
          <w:rFonts w:asciiTheme="majorBidi" w:hAnsiTheme="majorBidi" w:cstheme="majorBidi"/>
        </w:rPr>
      </w:pPr>
      <w:r w:rsidRPr="002A4D74">
        <w:rPr>
          <w:rFonts w:asciiTheme="majorBidi" w:hAnsiTheme="majorBidi" w:cstheme="majorBidi"/>
        </w:rPr>
        <w:t>However, the Discussion also highlights a trade-off: digitalization itself incurs embedded environmental costs, including energy consumption of cloud servers and electronic waste from sensors. Addressing these trade-offs requires adopting energy-efficient AI models, sustainable hardware, and life-cycle planning; topics identified as critical in recent literature [</w:t>
      </w:r>
      <w:r w:rsidR="00751828">
        <w:rPr>
          <w:rFonts w:asciiTheme="majorBidi" w:hAnsiTheme="majorBidi" w:cstheme="majorBidi"/>
        </w:rPr>
        <w:t>27</w:t>
      </w:r>
      <w:r w:rsidRPr="002A4D74">
        <w:rPr>
          <w:rFonts w:asciiTheme="majorBidi" w:hAnsiTheme="majorBidi" w:cstheme="majorBidi"/>
        </w:rPr>
        <w:t>].</w:t>
      </w:r>
    </w:p>
    <w:p w14:paraId="5A8660A8" w14:textId="77777777" w:rsidR="00D5468E" w:rsidRPr="00E77347" w:rsidRDefault="00D5468E" w:rsidP="00D5468E">
      <w:pPr>
        <w:jc w:val="both"/>
        <w:rPr>
          <w:rFonts w:asciiTheme="majorBidi" w:hAnsiTheme="majorBidi" w:cstheme="majorBidi"/>
          <w:sz w:val="22"/>
          <w:szCs w:val="22"/>
        </w:rPr>
      </w:pPr>
    </w:p>
    <w:p w14:paraId="7036ED03" w14:textId="77777777"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5.3 Food Safety and Traceability Implications</w:t>
      </w:r>
    </w:p>
    <w:p w14:paraId="062F8015" w14:textId="2329FD1E" w:rsidR="00D5468E" w:rsidRPr="00B24FCB" w:rsidRDefault="00D5468E" w:rsidP="00D5468E">
      <w:pPr>
        <w:jc w:val="both"/>
        <w:rPr>
          <w:rFonts w:asciiTheme="majorBidi" w:hAnsiTheme="majorBidi" w:cstheme="majorBidi"/>
        </w:rPr>
      </w:pPr>
      <w:r w:rsidRPr="00B24FCB">
        <w:rPr>
          <w:rFonts w:asciiTheme="majorBidi" w:hAnsiTheme="majorBidi" w:cstheme="majorBidi"/>
        </w:rPr>
        <w:t>The simulation demonstrated high accuracy in contamination detection (F1-score &gt;0.90) and improved recall precision in supply chain scenarios. These results reinforce prior findings that AI combined with IoT and blockchain enhances food safety, traceability, and accountability [</w:t>
      </w:r>
      <w:r w:rsidR="00751828">
        <w:rPr>
          <w:rFonts w:asciiTheme="majorBidi" w:hAnsiTheme="majorBidi" w:cstheme="majorBidi"/>
        </w:rPr>
        <w:t>32</w:t>
      </w:r>
      <w:r w:rsidRPr="00B24FCB">
        <w:rPr>
          <w:rFonts w:asciiTheme="majorBidi" w:hAnsiTheme="majorBidi" w:cstheme="majorBidi"/>
        </w:rPr>
        <w:t>][</w:t>
      </w:r>
      <w:r w:rsidR="00751828">
        <w:rPr>
          <w:rFonts w:asciiTheme="majorBidi" w:hAnsiTheme="majorBidi" w:cstheme="majorBidi"/>
        </w:rPr>
        <w:t>31</w:t>
      </w:r>
      <w:r w:rsidRPr="00B24FCB">
        <w:rPr>
          <w:rFonts w:asciiTheme="majorBidi" w:hAnsiTheme="majorBidi" w:cstheme="majorBidi"/>
        </w:rPr>
        <w:t>].</w:t>
      </w:r>
    </w:p>
    <w:p w14:paraId="67515FFF" w14:textId="353097E9" w:rsidR="00D5468E" w:rsidRPr="00B24FCB" w:rsidRDefault="00D5468E" w:rsidP="00D5468E">
      <w:pPr>
        <w:jc w:val="both"/>
        <w:rPr>
          <w:rFonts w:asciiTheme="majorBidi" w:hAnsiTheme="majorBidi" w:cstheme="majorBidi"/>
        </w:rPr>
      </w:pPr>
      <w:r w:rsidRPr="00B24FCB">
        <w:rPr>
          <w:rFonts w:asciiTheme="majorBidi" w:hAnsiTheme="majorBidi" w:cstheme="majorBidi"/>
        </w:rPr>
        <w:t>Early-warning capabilities enable proactive management of spoilage risks, reducing both economic losses and public health hazards. The high performance under stochastic sensor noise demonstrates robustness and reliability, a key consideration for real-world adoption [</w:t>
      </w:r>
      <w:r w:rsidR="00751828">
        <w:rPr>
          <w:rFonts w:asciiTheme="majorBidi" w:hAnsiTheme="majorBidi" w:cstheme="majorBidi"/>
        </w:rPr>
        <w:t>30</w:t>
      </w:r>
      <w:r w:rsidRPr="00B24FCB">
        <w:rPr>
          <w:rFonts w:asciiTheme="majorBidi" w:hAnsiTheme="majorBidi" w:cstheme="majorBidi"/>
        </w:rPr>
        <w:t>].</w:t>
      </w:r>
    </w:p>
    <w:p w14:paraId="37DCA695" w14:textId="76E4BC48" w:rsidR="00D5468E" w:rsidRPr="00B24FCB" w:rsidRDefault="00D5468E" w:rsidP="00D5468E">
      <w:pPr>
        <w:jc w:val="both"/>
        <w:rPr>
          <w:rFonts w:asciiTheme="majorBidi" w:hAnsiTheme="majorBidi" w:cstheme="majorBidi"/>
        </w:rPr>
      </w:pPr>
      <w:r w:rsidRPr="00B24FCB">
        <w:rPr>
          <w:rFonts w:asciiTheme="majorBidi" w:hAnsiTheme="majorBidi" w:cstheme="majorBidi"/>
        </w:rPr>
        <w:t>Despite these technical gains, real-world implementation faces governance and regulatory challenges, including harmonization of standards, data privacy compliance, and cross-border coordination. Addressing these challenges is essential for translating laboratory-scale results into operational food system improvements [</w:t>
      </w:r>
      <w:r w:rsidR="00751828">
        <w:rPr>
          <w:rFonts w:asciiTheme="majorBidi" w:hAnsiTheme="majorBidi" w:cstheme="majorBidi"/>
        </w:rPr>
        <w:t>7</w:t>
      </w:r>
      <w:r w:rsidRPr="00B24FCB">
        <w:rPr>
          <w:rFonts w:asciiTheme="majorBidi" w:hAnsiTheme="majorBidi" w:cstheme="majorBidi"/>
        </w:rPr>
        <w:t>][</w:t>
      </w:r>
      <w:r w:rsidR="00751828">
        <w:rPr>
          <w:rFonts w:asciiTheme="majorBidi" w:hAnsiTheme="majorBidi" w:cstheme="majorBidi"/>
        </w:rPr>
        <w:t>5</w:t>
      </w:r>
      <w:r w:rsidRPr="00B24FCB">
        <w:rPr>
          <w:rFonts w:asciiTheme="majorBidi" w:hAnsiTheme="majorBidi" w:cstheme="majorBidi"/>
        </w:rPr>
        <w:t>].</w:t>
      </w:r>
    </w:p>
    <w:p w14:paraId="26EF8004" w14:textId="77777777" w:rsidR="00D5468E" w:rsidRPr="00E77347" w:rsidRDefault="00D5468E" w:rsidP="00D5468E">
      <w:pPr>
        <w:jc w:val="both"/>
        <w:rPr>
          <w:rFonts w:asciiTheme="majorBidi" w:hAnsiTheme="majorBidi" w:cstheme="majorBidi"/>
          <w:sz w:val="22"/>
          <w:szCs w:val="22"/>
        </w:rPr>
      </w:pPr>
    </w:p>
    <w:p w14:paraId="4D0EE3C8" w14:textId="77777777"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5.4 Mechanisms Driving Observed Performance Improvements</w:t>
      </w:r>
    </w:p>
    <w:p w14:paraId="31355265" w14:textId="58570B5B" w:rsidR="00D5468E" w:rsidRPr="002A4D74" w:rsidRDefault="00D5468E" w:rsidP="002A4D74">
      <w:pPr>
        <w:jc w:val="both"/>
        <w:rPr>
          <w:rFonts w:asciiTheme="majorBidi" w:hAnsiTheme="majorBidi" w:cstheme="majorBidi"/>
        </w:rPr>
      </w:pPr>
      <w:r w:rsidRPr="002A4D74">
        <w:rPr>
          <w:rFonts w:asciiTheme="majorBidi" w:hAnsiTheme="majorBidi" w:cstheme="majorBidi"/>
        </w:rPr>
        <w:t>The performance improvements observed in our simulations can be attributed to several mechanisms:</w:t>
      </w:r>
    </w:p>
    <w:p w14:paraId="65A6BA17" w14:textId="697DA864" w:rsidR="00D5468E" w:rsidRPr="002A4D74" w:rsidRDefault="00D5468E" w:rsidP="002A4D74">
      <w:pPr>
        <w:pStyle w:val="ListParagraph"/>
        <w:numPr>
          <w:ilvl w:val="0"/>
          <w:numId w:val="23"/>
        </w:numPr>
        <w:jc w:val="both"/>
        <w:rPr>
          <w:rFonts w:asciiTheme="majorBidi" w:hAnsiTheme="majorBidi" w:cstheme="majorBidi"/>
        </w:rPr>
      </w:pPr>
      <w:r w:rsidRPr="002A4D74">
        <w:rPr>
          <w:rFonts w:asciiTheme="majorBidi" w:hAnsiTheme="majorBidi" w:cstheme="majorBidi"/>
        </w:rPr>
        <w:t>Data Fusion Across Scales: AI models integrate heterogeneous sensor, satellite, and historical datasets, enabling context-aware predictions [</w:t>
      </w:r>
      <w:r w:rsidR="00751828">
        <w:rPr>
          <w:rFonts w:asciiTheme="majorBidi" w:hAnsiTheme="majorBidi" w:cstheme="majorBidi"/>
        </w:rPr>
        <w:t>8</w:t>
      </w:r>
      <w:r w:rsidRPr="002A4D74">
        <w:rPr>
          <w:rFonts w:asciiTheme="majorBidi" w:hAnsiTheme="majorBidi" w:cstheme="majorBidi"/>
        </w:rPr>
        <w:t>].</w:t>
      </w:r>
    </w:p>
    <w:p w14:paraId="483DF68C" w14:textId="12C7788D" w:rsidR="00D5468E" w:rsidRPr="002A4D74" w:rsidRDefault="00D5468E" w:rsidP="002A4D74">
      <w:pPr>
        <w:pStyle w:val="ListParagraph"/>
        <w:numPr>
          <w:ilvl w:val="0"/>
          <w:numId w:val="23"/>
        </w:numPr>
        <w:jc w:val="both"/>
        <w:rPr>
          <w:rFonts w:asciiTheme="majorBidi" w:hAnsiTheme="majorBidi" w:cstheme="majorBidi"/>
        </w:rPr>
      </w:pPr>
      <w:r w:rsidRPr="002A4D74">
        <w:rPr>
          <w:rFonts w:asciiTheme="majorBidi" w:hAnsiTheme="majorBidi" w:cstheme="majorBidi"/>
        </w:rPr>
        <w:t>Adaptive Control and Reinforcement Learning: Dynamic decision-making adjusts resource application and interventions in response to environmental feedback [</w:t>
      </w:r>
      <w:r w:rsidR="00751828">
        <w:rPr>
          <w:rFonts w:asciiTheme="majorBidi" w:hAnsiTheme="majorBidi" w:cstheme="majorBidi"/>
        </w:rPr>
        <w:t>24</w:t>
      </w:r>
      <w:r w:rsidRPr="002A4D74">
        <w:rPr>
          <w:rFonts w:asciiTheme="majorBidi" w:hAnsiTheme="majorBidi" w:cstheme="majorBidi"/>
        </w:rPr>
        <w:t>].</w:t>
      </w:r>
    </w:p>
    <w:p w14:paraId="0C282BCF" w14:textId="3E32F89F" w:rsidR="00D5468E" w:rsidRPr="002A4D74" w:rsidRDefault="00D5468E" w:rsidP="002A4D74">
      <w:pPr>
        <w:pStyle w:val="ListParagraph"/>
        <w:numPr>
          <w:ilvl w:val="0"/>
          <w:numId w:val="23"/>
        </w:numPr>
        <w:jc w:val="both"/>
        <w:rPr>
          <w:rFonts w:asciiTheme="majorBidi" w:hAnsiTheme="majorBidi" w:cstheme="majorBidi"/>
        </w:rPr>
      </w:pPr>
      <w:r w:rsidRPr="002A4D74">
        <w:rPr>
          <w:rFonts w:asciiTheme="majorBidi" w:hAnsiTheme="majorBidi" w:cstheme="majorBidi"/>
        </w:rPr>
        <w:t>Non-Destructive Monitoring for Safety: Multispectral and hyperspectral imaging enable early detection of pathogens without compromising product integrity [</w:t>
      </w:r>
      <w:r w:rsidR="00751828">
        <w:rPr>
          <w:rFonts w:asciiTheme="majorBidi" w:hAnsiTheme="majorBidi" w:cstheme="majorBidi"/>
        </w:rPr>
        <w:t>19</w:t>
      </w:r>
      <w:r w:rsidRPr="002A4D74">
        <w:rPr>
          <w:rFonts w:asciiTheme="majorBidi" w:hAnsiTheme="majorBidi" w:cstheme="majorBidi"/>
        </w:rPr>
        <w:t>].</w:t>
      </w:r>
    </w:p>
    <w:p w14:paraId="4011747A" w14:textId="1CCB0AED" w:rsidR="00D5468E" w:rsidRPr="002A4D74" w:rsidRDefault="00D5468E" w:rsidP="002A4D74">
      <w:pPr>
        <w:pStyle w:val="ListParagraph"/>
        <w:numPr>
          <w:ilvl w:val="0"/>
          <w:numId w:val="23"/>
        </w:numPr>
        <w:jc w:val="both"/>
        <w:rPr>
          <w:rFonts w:asciiTheme="majorBidi" w:hAnsiTheme="majorBidi" w:cstheme="majorBidi"/>
        </w:rPr>
      </w:pPr>
      <w:r w:rsidRPr="002A4D74">
        <w:rPr>
          <w:rFonts w:asciiTheme="majorBidi" w:hAnsiTheme="majorBidi" w:cstheme="majorBidi"/>
        </w:rPr>
        <w:t>System-Level Feedback Loops: IoT-enabled communication ensures timely corrective actions, reducing lag between detection and intervention [</w:t>
      </w:r>
      <w:r w:rsidR="00751828">
        <w:rPr>
          <w:rFonts w:asciiTheme="majorBidi" w:hAnsiTheme="majorBidi" w:cstheme="majorBidi"/>
        </w:rPr>
        <w:t>12</w:t>
      </w:r>
      <w:r w:rsidRPr="002A4D74">
        <w:rPr>
          <w:rFonts w:asciiTheme="majorBidi" w:hAnsiTheme="majorBidi" w:cstheme="majorBidi"/>
        </w:rPr>
        <w:t>].</w:t>
      </w:r>
    </w:p>
    <w:p w14:paraId="78AE3E83" w14:textId="4DD05164" w:rsidR="00D5468E" w:rsidRPr="002A4D74" w:rsidRDefault="00D5468E" w:rsidP="00D5468E">
      <w:pPr>
        <w:jc w:val="both"/>
        <w:rPr>
          <w:rFonts w:asciiTheme="majorBidi" w:hAnsiTheme="majorBidi" w:cstheme="majorBidi"/>
        </w:rPr>
      </w:pPr>
      <w:r w:rsidRPr="002A4D74">
        <w:rPr>
          <w:rFonts w:asciiTheme="majorBidi" w:hAnsiTheme="majorBidi" w:cstheme="majorBidi"/>
        </w:rPr>
        <w:t>These mechanisms collectively illustrate the synergy of AI, sensing, and IoT in achieving system-level improvements, addressing a gap in prior literature which often focused on single-stage interventions [</w:t>
      </w:r>
      <w:r w:rsidR="00751828">
        <w:rPr>
          <w:rFonts w:asciiTheme="majorBidi" w:hAnsiTheme="majorBidi" w:cstheme="majorBidi"/>
        </w:rPr>
        <w:t>11</w:t>
      </w:r>
      <w:r w:rsidRPr="002A4D74">
        <w:rPr>
          <w:rFonts w:asciiTheme="majorBidi" w:hAnsiTheme="majorBidi" w:cstheme="majorBidi"/>
        </w:rPr>
        <w:t>].</w:t>
      </w:r>
    </w:p>
    <w:p w14:paraId="4FA131C2" w14:textId="77777777" w:rsidR="00D5468E" w:rsidRPr="00E77347" w:rsidRDefault="00D5468E" w:rsidP="00D5468E">
      <w:pPr>
        <w:jc w:val="both"/>
        <w:rPr>
          <w:rFonts w:asciiTheme="majorBidi" w:hAnsiTheme="majorBidi" w:cstheme="majorBidi"/>
          <w:sz w:val="22"/>
          <w:szCs w:val="22"/>
        </w:rPr>
      </w:pPr>
    </w:p>
    <w:p w14:paraId="75FEB737" w14:textId="77777777" w:rsidR="00D5468E" w:rsidRPr="002A4D74" w:rsidRDefault="00D5468E" w:rsidP="00D5468E">
      <w:pPr>
        <w:jc w:val="both"/>
        <w:rPr>
          <w:rFonts w:asciiTheme="majorBidi" w:hAnsiTheme="majorBidi" w:cstheme="majorBidi"/>
          <w:i/>
          <w:iCs/>
        </w:rPr>
      </w:pPr>
      <w:r w:rsidRPr="002A4D74">
        <w:rPr>
          <w:rFonts w:asciiTheme="majorBidi" w:hAnsiTheme="majorBidi" w:cstheme="majorBidi"/>
          <w:i/>
          <w:iCs/>
        </w:rPr>
        <w:t>5.5 Alignment with Research Gaps</w:t>
      </w:r>
    </w:p>
    <w:p w14:paraId="47C7ADB8" w14:textId="77777777" w:rsidR="00D5468E" w:rsidRPr="002A4D74" w:rsidRDefault="00D5468E" w:rsidP="00D5468E">
      <w:pPr>
        <w:jc w:val="both"/>
        <w:rPr>
          <w:rFonts w:asciiTheme="majorBidi" w:hAnsiTheme="majorBidi" w:cstheme="majorBidi"/>
        </w:rPr>
      </w:pPr>
      <w:r w:rsidRPr="002A4D74">
        <w:rPr>
          <w:rFonts w:asciiTheme="majorBidi" w:hAnsiTheme="majorBidi" w:cstheme="majorBidi"/>
        </w:rPr>
        <w:t>The study addresses the four major gaps identified in the literature:</w:t>
      </w:r>
    </w:p>
    <w:p w14:paraId="526045AF" w14:textId="76221049" w:rsidR="00D5468E" w:rsidRPr="002A4D74" w:rsidRDefault="00D5468E" w:rsidP="002A4D74">
      <w:pPr>
        <w:pStyle w:val="ListParagraph"/>
        <w:numPr>
          <w:ilvl w:val="0"/>
          <w:numId w:val="25"/>
        </w:numPr>
        <w:jc w:val="both"/>
        <w:rPr>
          <w:rFonts w:asciiTheme="majorBidi" w:hAnsiTheme="majorBidi" w:cstheme="majorBidi"/>
        </w:rPr>
      </w:pPr>
      <w:r w:rsidRPr="002A4D74">
        <w:rPr>
          <w:rFonts w:asciiTheme="majorBidi" w:hAnsiTheme="majorBidi" w:cstheme="majorBidi"/>
        </w:rPr>
        <w:t>End-to-End Integration: The hybrid AI–IoT framework simulates cross-stage interactions from farm to industry [</w:t>
      </w:r>
      <w:r w:rsidR="00751828">
        <w:rPr>
          <w:rFonts w:asciiTheme="majorBidi" w:hAnsiTheme="majorBidi" w:cstheme="majorBidi"/>
        </w:rPr>
        <w:t>13</w:t>
      </w:r>
      <w:r w:rsidRPr="002A4D74">
        <w:rPr>
          <w:rFonts w:asciiTheme="majorBidi" w:hAnsiTheme="majorBidi" w:cstheme="majorBidi"/>
        </w:rPr>
        <w:t>].</w:t>
      </w:r>
    </w:p>
    <w:p w14:paraId="7F6E7646" w14:textId="162E34B6" w:rsidR="00D5468E" w:rsidRPr="002A4D74" w:rsidRDefault="00D5468E" w:rsidP="002A4D74">
      <w:pPr>
        <w:pStyle w:val="ListParagraph"/>
        <w:numPr>
          <w:ilvl w:val="0"/>
          <w:numId w:val="25"/>
        </w:numPr>
        <w:jc w:val="both"/>
        <w:rPr>
          <w:rFonts w:asciiTheme="majorBidi" w:hAnsiTheme="majorBidi" w:cstheme="majorBidi"/>
        </w:rPr>
      </w:pPr>
      <w:r w:rsidRPr="002A4D74">
        <w:rPr>
          <w:rFonts w:asciiTheme="majorBidi" w:hAnsiTheme="majorBidi" w:cstheme="majorBidi"/>
        </w:rPr>
        <w:t>Generalizability and Explainability: Model training with synthetic multi-scenario data demonstrates robustness across variable climates [</w:t>
      </w:r>
      <w:r w:rsidR="00751828">
        <w:rPr>
          <w:rFonts w:asciiTheme="majorBidi" w:hAnsiTheme="majorBidi" w:cstheme="majorBidi"/>
        </w:rPr>
        <w:t>27</w:t>
      </w:r>
      <w:r w:rsidRPr="002A4D74">
        <w:rPr>
          <w:rFonts w:asciiTheme="majorBidi" w:hAnsiTheme="majorBidi" w:cstheme="majorBidi"/>
        </w:rPr>
        <w:t>].</w:t>
      </w:r>
    </w:p>
    <w:p w14:paraId="4BBC5005" w14:textId="7326A596" w:rsidR="00D5468E" w:rsidRPr="002A4D74" w:rsidRDefault="00D5468E" w:rsidP="002A4D74">
      <w:pPr>
        <w:pStyle w:val="ListParagraph"/>
        <w:numPr>
          <w:ilvl w:val="0"/>
          <w:numId w:val="25"/>
        </w:numPr>
        <w:jc w:val="both"/>
        <w:rPr>
          <w:rFonts w:asciiTheme="majorBidi" w:hAnsiTheme="majorBidi" w:cstheme="majorBidi"/>
        </w:rPr>
      </w:pPr>
      <w:r w:rsidRPr="002A4D74">
        <w:rPr>
          <w:rFonts w:asciiTheme="majorBidi" w:hAnsiTheme="majorBidi" w:cstheme="majorBidi"/>
        </w:rPr>
        <w:t>Standardized Metrics: The use of a composite index integrating resilience, sustainability, and food safety provides a replicable assessment framework [</w:t>
      </w:r>
      <w:r w:rsidR="00751828">
        <w:rPr>
          <w:rFonts w:asciiTheme="majorBidi" w:hAnsiTheme="majorBidi" w:cstheme="majorBidi"/>
        </w:rPr>
        <w:t>17</w:t>
      </w:r>
      <w:r w:rsidRPr="002A4D74">
        <w:rPr>
          <w:rFonts w:asciiTheme="majorBidi" w:hAnsiTheme="majorBidi" w:cstheme="majorBidi"/>
        </w:rPr>
        <w:t>].</w:t>
      </w:r>
    </w:p>
    <w:p w14:paraId="12569B92" w14:textId="704D6C27" w:rsidR="00D5468E" w:rsidRPr="002A4D74" w:rsidRDefault="00D5468E" w:rsidP="002A4D74">
      <w:pPr>
        <w:pStyle w:val="ListParagraph"/>
        <w:numPr>
          <w:ilvl w:val="0"/>
          <w:numId w:val="25"/>
        </w:numPr>
        <w:jc w:val="both"/>
        <w:rPr>
          <w:rFonts w:asciiTheme="majorBidi" w:hAnsiTheme="majorBidi" w:cstheme="majorBidi"/>
        </w:rPr>
      </w:pPr>
      <w:r w:rsidRPr="002A4D74">
        <w:rPr>
          <w:rFonts w:asciiTheme="majorBidi" w:hAnsiTheme="majorBidi" w:cstheme="majorBidi"/>
        </w:rPr>
        <w:t>Governance Coupling: The discussion of regulatory and infrastructure challenges highlights the need for policy-informed system design [</w:t>
      </w:r>
      <w:r w:rsidR="00751828">
        <w:rPr>
          <w:rFonts w:asciiTheme="majorBidi" w:hAnsiTheme="majorBidi" w:cstheme="majorBidi"/>
        </w:rPr>
        <w:t>19</w:t>
      </w:r>
      <w:r w:rsidRPr="002A4D74">
        <w:rPr>
          <w:rFonts w:asciiTheme="majorBidi" w:hAnsiTheme="majorBidi" w:cstheme="majorBidi"/>
        </w:rPr>
        <w:t>].</w:t>
      </w:r>
    </w:p>
    <w:p w14:paraId="1F9AFC05" w14:textId="77777777" w:rsidR="00D5468E" w:rsidRPr="002A4D74" w:rsidRDefault="00D5468E" w:rsidP="00D5468E">
      <w:pPr>
        <w:jc w:val="both"/>
        <w:rPr>
          <w:rFonts w:asciiTheme="majorBidi" w:hAnsiTheme="majorBidi" w:cstheme="majorBidi"/>
        </w:rPr>
      </w:pPr>
      <w:r w:rsidRPr="002A4D74">
        <w:rPr>
          <w:rFonts w:asciiTheme="majorBidi" w:hAnsiTheme="majorBidi" w:cstheme="majorBidi"/>
        </w:rPr>
        <w:t>By addressing these gaps, the study advances both theoretical understanding and practical guidance for climate-resilient, safe, and sustainable food systems.</w:t>
      </w:r>
    </w:p>
    <w:p w14:paraId="17C30657" w14:textId="77777777" w:rsidR="00D5468E" w:rsidRPr="00E77347" w:rsidRDefault="00D5468E" w:rsidP="00D5468E">
      <w:pPr>
        <w:jc w:val="both"/>
        <w:rPr>
          <w:rFonts w:asciiTheme="majorBidi" w:hAnsiTheme="majorBidi" w:cstheme="majorBidi"/>
          <w:sz w:val="22"/>
          <w:szCs w:val="22"/>
        </w:rPr>
      </w:pPr>
    </w:p>
    <w:p w14:paraId="70EB6162" w14:textId="77777777" w:rsidR="00B24FCB" w:rsidRDefault="00B24FCB" w:rsidP="00D5468E">
      <w:pPr>
        <w:jc w:val="both"/>
        <w:rPr>
          <w:rFonts w:asciiTheme="majorBidi" w:hAnsiTheme="majorBidi" w:cstheme="majorBidi"/>
          <w:b/>
          <w:bCs/>
          <w:sz w:val="22"/>
          <w:szCs w:val="22"/>
        </w:rPr>
      </w:pPr>
    </w:p>
    <w:p w14:paraId="2FD6E5C3" w14:textId="62EB1E04" w:rsidR="00D5468E" w:rsidRPr="00B24FCB" w:rsidRDefault="00D5468E" w:rsidP="00D5468E">
      <w:pPr>
        <w:jc w:val="both"/>
        <w:rPr>
          <w:rFonts w:asciiTheme="majorBidi" w:hAnsiTheme="majorBidi" w:cstheme="majorBidi"/>
          <w:i/>
          <w:iCs/>
        </w:rPr>
      </w:pPr>
      <w:r w:rsidRPr="00B24FCB">
        <w:rPr>
          <w:rFonts w:asciiTheme="majorBidi" w:hAnsiTheme="majorBidi" w:cstheme="majorBidi"/>
          <w:i/>
          <w:iCs/>
        </w:rPr>
        <w:t>5.6 Practical Implications for Industry and Policy</w:t>
      </w:r>
    </w:p>
    <w:p w14:paraId="62393F7B" w14:textId="77777777" w:rsidR="00D5468E" w:rsidRPr="00B24FCB" w:rsidRDefault="00D5468E" w:rsidP="00D5468E">
      <w:pPr>
        <w:jc w:val="both"/>
        <w:rPr>
          <w:rFonts w:asciiTheme="majorBidi" w:hAnsiTheme="majorBidi" w:cstheme="majorBidi"/>
        </w:rPr>
      </w:pPr>
      <w:r w:rsidRPr="00B24FCB">
        <w:rPr>
          <w:rFonts w:asciiTheme="majorBidi" w:hAnsiTheme="majorBidi" w:cstheme="majorBidi"/>
        </w:rPr>
        <w:t>The findings have direct implications for stakeholders:</w:t>
      </w:r>
    </w:p>
    <w:p w14:paraId="49454320" w14:textId="77777777" w:rsidR="00D5468E" w:rsidRPr="00B24FCB" w:rsidRDefault="00D5468E" w:rsidP="00D5468E">
      <w:pPr>
        <w:pStyle w:val="ListParagraph"/>
        <w:numPr>
          <w:ilvl w:val="0"/>
          <w:numId w:val="20"/>
        </w:numPr>
        <w:jc w:val="both"/>
        <w:rPr>
          <w:rFonts w:asciiTheme="majorBidi" w:hAnsiTheme="majorBidi" w:cstheme="majorBidi"/>
        </w:rPr>
      </w:pPr>
      <w:r w:rsidRPr="00B24FCB">
        <w:rPr>
          <w:rFonts w:asciiTheme="majorBidi" w:hAnsiTheme="majorBidi" w:cstheme="majorBidi"/>
        </w:rPr>
        <w:t>Farmers: Integration of AI and smart sensors improves risk management, resource efficiency, and operational decision-making.</w:t>
      </w:r>
    </w:p>
    <w:p w14:paraId="012CFC9E" w14:textId="77777777" w:rsidR="00D5468E" w:rsidRPr="00B24FCB" w:rsidRDefault="00D5468E" w:rsidP="00D5468E">
      <w:pPr>
        <w:pStyle w:val="ListParagraph"/>
        <w:numPr>
          <w:ilvl w:val="0"/>
          <w:numId w:val="20"/>
        </w:numPr>
        <w:jc w:val="both"/>
        <w:rPr>
          <w:rFonts w:asciiTheme="majorBidi" w:hAnsiTheme="majorBidi" w:cstheme="majorBidi"/>
        </w:rPr>
      </w:pPr>
      <w:r w:rsidRPr="00B24FCB">
        <w:rPr>
          <w:rFonts w:asciiTheme="majorBidi" w:hAnsiTheme="majorBidi" w:cstheme="majorBidi"/>
        </w:rPr>
        <w:t>Food Industry: Early-warning systems and traceability improvements reduce waste, contamination, and liability.</w:t>
      </w:r>
    </w:p>
    <w:p w14:paraId="35E3F2A5" w14:textId="77777777" w:rsidR="00D5468E" w:rsidRPr="00B24FCB" w:rsidRDefault="00D5468E" w:rsidP="00D5468E">
      <w:pPr>
        <w:pStyle w:val="ListParagraph"/>
        <w:numPr>
          <w:ilvl w:val="0"/>
          <w:numId w:val="20"/>
        </w:numPr>
        <w:jc w:val="both"/>
        <w:rPr>
          <w:rFonts w:asciiTheme="majorBidi" w:hAnsiTheme="majorBidi" w:cstheme="majorBidi"/>
        </w:rPr>
      </w:pPr>
      <w:r w:rsidRPr="00B24FCB">
        <w:rPr>
          <w:rFonts w:asciiTheme="majorBidi" w:hAnsiTheme="majorBidi" w:cstheme="majorBidi"/>
        </w:rPr>
        <w:t>Policy Makers: Incentives and standardized protocols are necessary to support technology adoption, data interoperability, and ethical data governance.</w:t>
      </w:r>
    </w:p>
    <w:p w14:paraId="04E07518" w14:textId="441B9B18" w:rsidR="00D5468E" w:rsidRPr="00B24FCB" w:rsidRDefault="00D5468E" w:rsidP="00D5468E">
      <w:pPr>
        <w:pStyle w:val="ListParagraph"/>
        <w:numPr>
          <w:ilvl w:val="0"/>
          <w:numId w:val="20"/>
        </w:numPr>
        <w:jc w:val="both"/>
        <w:rPr>
          <w:rFonts w:asciiTheme="majorBidi" w:hAnsiTheme="majorBidi" w:cstheme="majorBidi"/>
        </w:rPr>
      </w:pPr>
      <w:r w:rsidRPr="00B24FCB">
        <w:rPr>
          <w:rFonts w:asciiTheme="majorBidi" w:hAnsiTheme="majorBidi" w:cstheme="majorBidi"/>
        </w:rPr>
        <w:t>Researchers: The hybrid methodology provides a replicable template for simulating system-level interventions and assessing multidimensional outcomes [</w:t>
      </w:r>
      <w:r w:rsidR="00751828">
        <w:rPr>
          <w:rFonts w:asciiTheme="majorBidi" w:hAnsiTheme="majorBidi" w:cstheme="majorBidi"/>
        </w:rPr>
        <w:t>6</w:t>
      </w:r>
      <w:r w:rsidRPr="00B24FCB">
        <w:rPr>
          <w:rFonts w:asciiTheme="majorBidi" w:hAnsiTheme="majorBidi" w:cstheme="majorBidi"/>
        </w:rPr>
        <w:t>][</w:t>
      </w:r>
      <w:r w:rsidR="00751828">
        <w:rPr>
          <w:rFonts w:asciiTheme="majorBidi" w:hAnsiTheme="majorBidi" w:cstheme="majorBidi"/>
        </w:rPr>
        <w:t>5</w:t>
      </w:r>
      <w:r w:rsidRPr="00B24FCB">
        <w:rPr>
          <w:rFonts w:asciiTheme="majorBidi" w:hAnsiTheme="majorBidi" w:cstheme="majorBidi"/>
        </w:rPr>
        <w:t>].</w:t>
      </w:r>
    </w:p>
    <w:p w14:paraId="31F8CDCC" w14:textId="77777777" w:rsidR="00D5468E" w:rsidRPr="007516E4" w:rsidRDefault="00D5468E" w:rsidP="00D5468E">
      <w:pPr>
        <w:pStyle w:val="ListParagraph"/>
        <w:ind w:left="780"/>
        <w:jc w:val="both"/>
        <w:rPr>
          <w:rFonts w:asciiTheme="majorBidi" w:hAnsiTheme="majorBidi" w:cstheme="majorBidi"/>
          <w:sz w:val="22"/>
          <w:szCs w:val="22"/>
        </w:rPr>
      </w:pPr>
    </w:p>
    <w:p w14:paraId="30FBC7CD" w14:textId="77777777" w:rsidR="00D5468E" w:rsidRPr="00B24FCB" w:rsidRDefault="00D5468E" w:rsidP="00D5468E">
      <w:pPr>
        <w:jc w:val="both"/>
        <w:rPr>
          <w:rFonts w:asciiTheme="majorBidi" w:hAnsiTheme="majorBidi" w:cstheme="majorBidi"/>
          <w:i/>
          <w:iCs/>
        </w:rPr>
      </w:pPr>
      <w:r w:rsidRPr="00B24FCB">
        <w:rPr>
          <w:rFonts w:asciiTheme="majorBidi" w:hAnsiTheme="majorBidi" w:cstheme="majorBidi"/>
          <w:i/>
          <w:iCs/>
        </w:rPr>
        <w:t>5.7 Limitations and Future Directions</w:t>
      </w:r>
    </w:p>
    <w:p w14:paraId="462CE242" w14:textId="77777777" w:rsidR="00D5468E" w:rsidRPr="00B24FCB" w:rsidRDefault="00D5468E" w:rsidP="00D5468E">
      <w:pPr>
        <w:jc w:val="both"/>
        <w:rPr>
          <w:rFonts w:asciiTheme="majorBidi" w:hAnsiTheme="majorBidi" w:cstheme="majorBidi"/>
        </w:rPr>
      </w:pPr>
      <w:r w:rsidRPr="00B24FCB">
        <w:rPr>
          <w:rFonts w:asciiTheme="majorBidi" w:hAnsiTheme="majorBidi" w:cstheme="majorBidi"/>
        </w:rPr>
        <w:t>Although the hybrid simulation approach provides comprehensive insights, several limitations remain:</w:t>
      </w:r>
    </w:p>
    <w:p w14:paraId="42F0CF33" w14:textId="392FADE7" w:rsidR="00D5468E" w:rsidRPr="00B24FCB" w:rsidRDefault="00D5468E" w:rsidP="00B24FCB">
      <w:pPr>
        <w:pStyle w:val="ListParagraph"/>
        <w:numPr>
          <w:ilvl w:val="0"/>
          <w:numId w:val="28"/>
        </w:numPr>
        <w:jc w:val="both"/>
        <w:rPr>
          <w:rFonts w:asciiTheme="majorBidi" w:hAnsiTheme="majorBidi" w:cstheme="majorBidi"/>
        </w:rPr>
      </w:pPr>
      <w:r w:rsidRPr="00B24FCB">
        <w:rPr>
          <w:rFonts w:asciiTheme="majorBidi" w:hAnsiTheme="majorBidi" w:cstheme="majorBidi"/>
        </w:rPr>
        <w:t>Synthetic Data: While calibrated with empirical ranges, simulated datasets cannot fully replicate field variability.</w:t>
      </w:r>
    </w:p>
    <w:p w14:paraId="2B49AD79" w14:textId="49D2CCCE" w:rsidR="00D5468E" w:rsidRPr="00B24FCB" w:rsidRDefault="00D5468E" w:rsidP="00B24FCB">
      <w:pPr>
        <w:pStyle w:val="ListParagraph"/>
        <w:numPr>
          <w:ilvl w:val="0"/>
          <w:numId w:val="28"/>
        </w:numPr>
        <w:jc w:val="both"/>
        <w:rPr>
          <w:rFonts w:asciiTheme="majorBidi" w:hAnsiTheme="majorBidi" w:cstheme="majorBidi"/>
        </w:rPr>
      </w:pPr>
      <w:r w:rsidRPr="00B24FCB">
        <w:rPr>
          <w:rFonts w:asciiTheme="majorBidi" w:hAnsiTheme="majorBidi" w:cstheme="majorBidi"/>
        </w:rPr>
        <w:t>Assumed Connectivity: Full IoT network functionality may not be feasible in all regions, particularly resource-limited contexts.</w:t>
      </w:r>
    </w:p>
    <w:p w14:paraId="4490BB8C" w14:textId="59C71709" w:rsidR="00D5468E" w:rsidRPr="00B24FCB" w:rsidRDefault="00D5468E" w:rsidP="00B24FCB">
      <w:pPr>
        <w:pStyle w:val="ListParagraph"/>
        <w:numPr>
          <w:ilvl w:val="0"/>
          <w:numId w:val="28"/>
        </w:numPr>
        <w:jc w:val="both"/>
        <w:rPr>
          <w:rFonts w:asciiTheme="majorBidi" w:hAnsiTheme="majorBidi" w:cstheme="majorBidi"/>
        </w:rPr>
      </w:pPr>
      <w:r w:rsidRPr="00B24FCB">
        <w:rPr>
          <w:rFonts w:asciiTheme="majorBidi" w:hAnsiTheme="majorBidi" w:cstheme="majorBidi"/>
        </w:rPr>
        <w:t>Environmental Costs of Digitalization: The framework does not fully account for lifecycle impacts of AI infrastructure and sensors.</w:t>
      </w:r>
    </w:p>
    <w:p w14:paraId="7F77B35C" w14:textId="77777777" w:rsidR="00D5468E" w:rsidRPr="00B24FCB" w:rsidRDefault="00D5468E" w:rsidP="00D5468E">
      <w:pPr>
        <w:jc w:val="both"/>
        <w:rPr>
          <w:rFonts w:asciiTheme="majorBidi" w:hAnsiTheme="majorBidi" w:cstheme="majorBidi"/>
        </w:rPr>
      </w:pPr>
      <w:r w:rsidRPr="00B24FCB">
        <w:rPr>
          <w:rFonts w:asciiTheme="majorBidi" w:hAnsiTheme="majorBidi" w:cstheme="majorBidi"/>
        </w:rPr>
        <w:t>Future research should integrate real-world pilot studies, energy-efficient AI architectures, and governance-aware designs to validate and extend the findings.</w:t>
      </w:r>
    </w:p>
    <w:p w14:paraId="2E28D7E5" w14:textId="77777777" w:rsidR="00D5468E" w:rsidRPr="00E77347" w:rsidRDefault="00D5468E" w:rsidP="00D5468E">
      <w:pPr>
        <w:jc w:val="both"/>
        <w:rPr>
          <w:rFonts w:asciiTheme="majorBidi" w:hAnsiTheme="majorBidi" w:cstheme="majorBidi"/>
          <w:sz w:val="22"/>
          <w:szCs w:val="22"/>
        </w:rPr>
      </w:pPr>
    </w:p>
    <w:p w14:paraId="45F499E5" w14:textId="79AEF831" w:rsidR="00D5468E" w:rsidRPr="00B24FCB" w:rsidRDefault="00D5468E" w:rsidP="00B24FCB">
      <w:pPr>
        <w:pStyle w:val="ListParagraph"/>
        <w:numPr>
          <w:ilvl w:val="0"/>
          <w:numId w:val="16"/>
        </w:numPr>
        <w:jc w:val="both"/>
        <w:rPr>
          <w:rFonts w:asciiTheme="majorBidi" w:hAnsiTheme="majorBidi" w:cstheme="majorBidi"/>
          <w:b/>
          <w:bCs/>
          <w:sz w:val="22"/>
          <w:szCs w:val="22"/>
        </w:rPr>
      </w:pPr>
      <w:r w:rsidRPr="00B24FCB">
        <w:rPr>
          <w:rFonts w:asciiTheme="majorBidi" w:hAnsiTheme="majorBidi" w:cstheme="majorBidi"/>
          <w:b/>
          <w:bCs/>
          <w:sz w:val="22"/>
          <w:szCs w:val="22"/>
        </w:rPr>
        <w:t>Conclusion</w:t>
      </w:r>
    </w:p>
    <w:p w14:paraId="327030C6" w14:textId="150BEF1A" w:rsidR="00B24FCB" w:rsidRPr="00B24FCB" w:rsidRDefault="00D5468E" w:rsidP="00B24FCB">
      <w:pPr>
        <w:jc w:val="both"/>
        <w:rPr>
          <w:rFonts w:asciiTheme="majorBidi" w:hAnsiTheme="majorBidi" w:cstheme="majorBidi"/>
        </w:rPr>
      </w:pPr>
      <w:r w:rsidRPr="00B24FCB">
        <w:rPr>
          <w:rFonts w:asciiTheme="majorBidi" w:hAnsiTheme="majorBidi" w:cstheme="majorBidi"/>
        </w:rPr>
        <w:t>This study presents a hybrid conceptual and simulation-based framework integrating artificial intelligence (AI), smart sensors, and IoT technologies to enhance climate resilience, food safety, and sustainability in modern food systems. Through a combination of system architecture design, AI model development, and multi-scenario simulation, the research quantifies the benefits of fully integrated digital food systems relative to baseline and partial digitalization scenarios.</w:t>
      </w:r>
    </w:p>
    <w:p w14:paraId="112B2549" w14:textId="77777777" w:rsidR="00B24FCB" w:rsidRPr="00B24FCB" w:rsidRDefault="00B24FCB" w:rsidP="00B24FCB">
      <w:pPr>
        <w:jc w:val="both"/>
        <w:rPr>
          <w:rFonts w:asciiTheme="majorBidi" w:hAnsiTheme="majorBidi" w:cstheme="majorBidi"/>
        </w:rPr>
      </w:pPr>
    </w:p>
    <w:p w14:paraId="4A66C6D6" w14:textId="77777777" w:rsidR="00D5468E" w:rsidRPr="00B24FCB" w:rsidRDefault="00D5468E" w:rsidP="00D5468E">
      <w:pPr>
        <w:jc w:val="both"/>
        <w:rPr>
          <w:rFonts w:asciiTheme="majorBidi" w:hAnsiTheme="majorBidi" w:cstheme="majorBidi"/>
        </w:rPr>
      </w:pPr>
      <w:r w:rsidRPr="00B24FCB">
        <w:rPr>
          <w:rFonts w:asciiTheme="majorBidi" w:hAnsiTheme="majorBidi" w:cstheme="majorBidi"/>
        </w:rPr>
        <w:t>Key findings include:</w:t>
      </w:r>
    </w:p>
    <w:p w14:paraId="63E6D742" w14:textId="05093531" w:rsidR="00D5468E" w:rsidRPr="00B24FCB" w:rsidRDefault="00D5468E" w:rsidP="00B24FCB">
      <w:pPr>
        <w:pStyle w:val="ListParagraph"/>
        <w:numPr>
          <w:ilvl w:val="0"/>
          <w:numId w:val="29"/>
        </w:numPr>
        <w:jc w:val="both"/>
        <w:rPr>
          <w:rFonts w:asciiTheme="majorBidi" w:hAnsiTheme="majorBidi" w:cstheme="majorBidi"/>
        </w:rPr>
      </w:pPr>
      <w:r w:rsidRPr="00B24FCB">
        <w:rPr>
          <w:rFonts w:asciiTheme="majorBidi" w:hAnsiTheme="majorBidi" w:cstheme="majorBidi"/>
        </w:rPr>
        <w:t>Enhanced Climate Resilience: Fully integrated AI–IoT systems reduced yield variability by up to 41% under high climate stress and shortened recovery times by 30–45% following extreme weather events. These improvements demonstrate the potential of predictive analytics, reinforcement learning, and real-time adaptive control for anticipatory management of climate risks [1][2].</w:t>
      </w:r>
    </w:p>
    <w:p w14:paraId="29DCDED0" w14:textId="25789D6A" w:rsidR="00D5468E" w:rsidRPr="00B24FCB" w:rsidRDefault="00D5468E" w:rsidP="00B24FCB">
      <w:pPr>
        <w:pStyle w:val="ListParagraph"/>
        <w:numPr>
          <w:ilvl w:val="0"/>
          <w:numId w:val="29"/>
        </w:numPr>
        <w:jc w:val="both"/>
        <w:rPr>
          <w:rFonts w:asciiTheme="majorBidi" w:hAnsiTheme="majorBidi" w:cstheme="majorBidi"/>
        </w:rPr>
      </w:pPr>
      <w:r w:rsidRPr="00B24FCB">
        <w:rPr>
          <w:rFonts w:asciiTheme="majorBidi" w:hAnsiTheme="majorBidi" w:cstheme="majorBidi"/>
        </w:rPr>
        <w:t>Resource Efficiency and Sustainability Gains: AI-driven optimization achieved 32–48% water savings, 18–26% reduction in energy intensity, and 25–37% reduction in food waste, confirming the role of intelligent systems in promoting circularity and sustainable operations [</w:t>
      </w:r>
      <w:r w:rsidR="00751828">
        <w:rPr>
          <w:rFonts w:asciiTheme="majorBidi" w:hAnsiTheme="majorBidi" w:cstheme="majorBidi"/>
        </w:rPr>
        <w:t>22</w:t>
      </w:r>
      <w:r w:rsidRPr="00B24FCB">
        <w:rPr>
          <w:rFonts w:asciiTheme="majorBidi" w:hAnsiTheme="majorBidi" w:cstheme="majorBidi"/>
        </w:rPr>
        <w:t>][</w:t>
      </w:r>
      <w:r w:rsidR="00751828">
        <w:rPr>
          <w:rFonts w:asciiTheme="majorBidi" w:hAnsiTheme="majorBidi" w:cstheme="majorBidi"/>
        </w:rPr>
        <w:t>12</w:t>
      </w:r>
      <w:r w:rsidRPr="00B24FCB">
        <w:rPr>
          <w:rFonts w:asciiTheme="majorBidi" w:hAnsiTheme="majorBidi" w:cstheme="majorBidi"/>
        </w:rPr>
        <w:t>].</w:t>
      </w:r>
    </w:p>
    <w:p w14:paraId="195C9141" w14:textId="1D63B4F2" w:rsidR="00D5468E" w:rsidRPr="00B24FCB" w:rsidRDefault="00D5468E" w:rsidP="00B24FCB">
      <w:pPr>
        <w:pStyle w:val="ListParagraph"/>
        <w:numPr>
          <w:ilvl w:val="0"/>
          <w:numId w:val="29"/>
        </w:numPr>
        <w:jc w:val="both"/>
        <w:rPr>
          <w:rFonts w:asciiTheme="majorBidi" w:hAnsiTheme="majorBidi" w:cstheme="majorBidi"/>
        </w:rPr>
      </w:pPr>
      <w:r w:rsidRPr="00B24FCB">
        <w:rPr>
          <w:rFonts w:asciiTheme="majorBidi" w:hAnsiTheme="majorBidi" w:cstheme="majorBidi"/>
        </w:rPr>
        <w:t>Improved Food Safety and Traceability: Machine learning models, combined with IoT-enabled monitoring, achieved &gt;93% accuracy in contamination detection and enhanced recall precision by 40–55%, illustrating the capability of AI systems to support proactive quality management and robust supply chain traceability [</w:t>
      </w:r>
      <w:r w:rsidR="00751828">
        <w:rPr>
          <w:rFonts w:asciiTheme="majorBidi" w:hAnsiTheme="majorBidi" w:cstheme="majorBidi"/>
        </w:rPr>
        <w:t>11</w:t>
      </w:r>
      <w:r w:rsidRPr="00B24FCB">
        <w:rPr>
          <w:rFonts w:asciiTheme="majorBidi" w:hAnsiTheme="majorBidi" w:cstheme="majorBidi"/>
        </w:rPr>
        <w:t>][</w:t>
      </w:r>
      <w:r w:rsidR="00751828">
        <w:rPr>
          <w:rFonts w:asciiTheme="majorBidi" w:hAnsiTheme="majorBidi" w:cstheme="majorBidi"/>
        </w:rPr>
        <w:t>4</w:t>
      </w:r>
      <w:r w:rsidRPr="00B24FCB">
        <w:rPr>
          <w:rFonts w:asciiTheme="majorBidi" w:hAnsiTheme="majorBidi" w:cstheme="majorBidi"/>
        </w:rPr>
        <w:t>].</w:t>
      </w:r>
    </w:p>
    <w:p w14:paraId="0F3D2D3A" w14:textId="23C75BB2" w:rsidR="00D5468E" w:rsidRPr="00B24FCB" w:rsidRDefault="00D5468E" w:rsidP="00B24FCB">
      <w:pPr>
        <w:pStyle w:val="ListParagraph"/>
        <w:numPr>
          <w:ilvl w:val="0"/>
          <w:numId w:val="29"/>
        </w:numPr>
        <w:jc w:val="both"/>
        <w:rPr>
          <w:rFonts w:asciiTheme="majorBidi" w:hAnsiTheme="majorBidi" w:cstheme="majorBidi"/>
        </w:rPr>
      </w:pPr>
      <w:r w:rsidRPr="00B24FCB">
        <w:rPr>
          <w:rFonts w:asciiTheme="majorBidi" w:hAnsiTheme="majorBidi" w:cstheme="majorBidi"/>
        </w:rPr>
        <w:t>System-Level Synergy: The results underscore that sensor deployment alone is insufficient. Only fully integrated AI–IoT frameworks achieve substantial multi-dimensional gains, highlighting the importance of holistic system design that combines sensing, analytics, and automated decision-making [</w:t>
      </w:r>
      <w:r w:rsidR="00751828">
        <w:rPr>
          <w:rFonts w:asciiTheme="majorBidi" w:hAnsiTheme="majorBidi" w:cstheme="majorBidi"/>
        </w:rPr>
        <w:t>9</w:t>
      </w:r>
      <w:r w:rsidRPr="00B24FCB">
        <w:rPr>
          <w:rFonts w:asciiTheme="majorBidi" w:hAnsiTheme="majorBidi" w:cstheme="majorBidi"/>
        </w:rPr>
        <w:t>][</w:t>
      </w:r>
      <w:r w:rsidR="00751828">
        <w:rPr>
          <w:rFonts w:asciiTheme="majorBidi" w:hAnsiTheme="majorBidi" w:cstheme="majorBidi"/>
        </w:rPr>
        <w:t>7</w:t>
      </w:r>
      <w:r w:rsidRPr="00B24FCB">
        <w:rPr>
          <w:rFonts w:asciiTheme="majorBidi" w:hAnsiTheme="majorBidi" w:cstheme="majorBidi"/>
        </w:rPr>
        <w:t>].</w:t>
      </w:r>
    </w:p>
    <w:p w14:paraId="642F57B0" w14:textId="77777777" w:rsidR="00B24FCB" w:rsidRPr="00B24FCB" w:rsidRDefault="00B24FCB" w:rsidP="00D5468E">
      <w:pPr>
        <w:jc w:val="both"/>
        <w:rPr>
          <w:rFonts w:asciiTheme="majorBidi" w:hAnsiTheme="majorBidi" w:cstheme="majorBidi"/>
        </w:rPr>
      </w:pPr>
    </w:p>
    <w:p w14:paraId="38FCCFE7" w14:textId="77777777" w:rsidR="00D5468E" w:rsidRPr="00B24FCB" w:rsidRDefault="00D5468E" w:rsidP="00D5468E">
      <w:pPr>
        <w:jc w:val="both"/>
        <w:rPr>
          <w:rFonts w:asciiTheme="majorBidi" w:hAnsiTheme="majorBidi" w:cstheme="majorBidi"/>
          <w:i/>
          <w:iCs/>
        </w:rPr>
      </w:pPr>
      <w:r w:rsidRPr="00B24FCB">
        <w:rPr>
          <w:rFonts w:asciiTheme="majorBidi" w:hAnsiTheme="majorBidi" w:cstheme="majorBidi"/>
          <w:i/>
          <w:iCs/>
        </w:rPr>
        <w:t>6.1 Contributions to Research and Practice</w:t>
      </w:r>
    </w:p>
    <w:p w14:paraId="55C0B5D8" w14:textId="77777777" w:rsidR="00D5468E" w:rsidRPr="00B24FCB" w:rsidRDefault="00D5468E" w:rsidP="00D5468E">
      <w:pPr>
        <w:jc w:val="both"/>
        <w:rPr>
          <w:rFonts w:asciiTheme="majorBidi" w:hAnsiTheme="majorBidi" w:cstheme="majorBidi"/>
        </w:rPr>
      </w:pPr>
      <w:r w:rsidRPr="00B24FCB">
        <w:rPr>
          <w:rFonts w:asciiTheme="majorBidi" w:hAnsiTheme="majorBidi" w:cstheme="majorBidi"/>
        </w:rPr>
        <w:t>This study contributes to both theory and practice in several ways:</w:t>
      </w:r>
    </w:p>
    <w:p w14:paraId="5D0D1302" w14:textId="260EF6BC" w:rsidR="00D5468E" w:rsidRPr="00B24FCB" w:rsidRDefault="00D5468E" w:rsidP="00D5468E">
      <w:pPr>
        <w:jc w:val="both"/>
        <w:rPr>
          <w:rFonts w:asciiTheme="majorBidi" w:hAnsiTheme="majorBidi" w:cstheme="majorBidi"/>
        </w:rPr>
      </w:pPr>
      <w:r w:rsidRPr="00B24FCB">
        <w:rPr>
          <w:rFonts w:asciiTheme="majorBidi" w:hAnsiTheme="majorBidi" w:cstheme="majorBidi"/>
        </w:rPr>
        <w:t xml:space="preserve"> Theoretical Contribution: Provides a replicable hybrid simulation framework that links AI, sensing, and IoT to resilience, sustainability, and safety metrics, addressing research gaps in end-to-end integration and standardized evaluation [</w:t>
      </w:r>
      <w:r w:rsidR="00751828">
        <w:rPr>
          <w:rFonts w:asciiTheme="majorBidi" w:hAnsiTheme="majorBidi" w:cstheme="majorBidi"/>
        </w:rPr>
        <w:t>15</w:t>
      </w:r>
      <w:r w:rsidRPr="00B24FCB">
        <w:rPr>
          <w:rFonts w:asciiTheme="majorBidi" w:hAnsiTheme="majorBidi" w:cstheme="majorBidi"/>
        </w:rPr>
        <w:t>][</w:t>
      </w:r>
      <w:r w:rsidR="00751828">
        <w:rPr>
          <w:rFonts w:asciiTheme="majorBidi" w:hAnsiTheme="majorBidi" w:cstheme="majorBidi"/>
        </w:rPr>
        <w:t>14</w:t>
      </w:r>
      <w:r w:rsidRPr="00B24FCB">
        <w:rPr>
          <w:rFonts w:asciiTheme="majorBidi" w:hAnsiTheme="majorBidi" w:cstheme="majorBidi"/>
        </w:rPr>
        <w:t>].</w:t>
      </w:r>
    </w:p>
    <w:p w14:paraId="599F1103" w14:textId="7E4ECEDA" w:rsidR="00D5468E" w:rsidRPr="00B24FCB" w:rsidRDefault="00D5468E" w:rsidP="00D5468E">
      <w:pPr>
        <w:jc w:val="both"/>
        <w:rPr>
          <w:rFonts w:asciiTheme="majorBidi" w:hAnsiTheme="majorBidi" w:cstheme="majorBidi"/>
        </w:rPr>
      </w:pPr>
      <w:r w:rsidRPr="00B24FCB">
        <w:rPr>
          <w:rFonts w:asciiTheme="majorBidi" w:hAnsiTheme="majorBidi" w:cstheme="majorBidi"/>
        </w:rPr>
        <w:t xml:space="preserve"> Methodological Advancement: Demonstrates the utility of combining conceptual architectures with scenario-based simulations, offering a robust approach for assessing multi-dimensional outcomes under climate and operational uncertainties [</w:t>
      </w:r>
      <w:r w:rsidR="00751828">
        <w:rPr>
          <w:rFonts w:asciiTheme="majorBidi" w:hAnsiTheme="majorBidi" w:cstheme="majorBidi"/>
        </w:rPr>
        <w:t>2</w:t>
      </w:r>
      <w:r w:rsidRPr="00B24FCB">
        <w:rPr>
          <w:rFonts w:asciiTheme="majorBidi" w:hAnsiTheme="majorBidi" w:cstheme="majorBidi"/>
        </w:rPr>
        <w:t>].</w:t>
      </w:r>
    </w:p>
    <w:p w14:paraId="465C7F66" w14:textId="478B9E2D" w:rsidR="00D5468E" w:rsidRPr="00B24FCB" w:rsidRDefault="00D5468E" w:rsidP="00751828">
      <w:pPr>
        <w:jc w:val="both"/>
        <w:rPr>
          <w:rFonts w:asciiTheme="majorBidi" w:hAnsiTheme="majorBidi" w:cstheme="majorBidi"/>
        </w:rPr>
      </w:pPr>
      <w:r w:rsidRPr="00B24FCB">
        <w:rPr>
          <w:rFonts w:asciiTheme="majorBidi" w:hAnsiTheme="majorBidi" w:cstheme="majorBidi"/>
        </w:rPr>
        <w:t xml:space="preserve"> Practical Implications: Offers actionable insights for farmers, food industry stakeholders, and policymakers, emphasizing the need for integrated digital systems, energy-efficient AI adoption, and governance frameworks that support technology deployment [</w:t>
      </w:r>
      <w:r w:rsidR="00751828">
        <w:rPr>
          <w:rFonts w:asciiTheme="majorBidi" w:hAnsiTheme="majorBidi" w:cstheme="majorBidi"/>
        </w:rPr>
        <w:t>25</w:t>
      </w:r>
      <w:r w:rsidRPr="00B24FCB">
        <w:rPr>
          <w:rFonts w:asciiTheme="majorBidi" w:hAnsiTheme="majorBidi" w:cstheme="majorBidi"/>
        </w:rPr>
        <w:t>][</w:t>
      </w:r>
      <w:r w:rsidR="00751828">
        <w:rPr>
          <w:rFonts w:asciiTheme="majorBidi" w:hAnsiTheme="majorBidi" w:cstheme="majorBidi"/>
        </w:rPr>
        <w:t>13</w:t>
      </w:r>
      <w:r w:rsidRPr="00B24FCB">
        <w:rPr>
          <w:rFonts w:asciiTheme="majorBidi" w:hAnsiTheme="majorBidi" w:cstheme="majorBidi"/>
        </w:rPr>
        <w:t>].</w:t>
      </w:r>
    </w:p>
    <w:p w14:paraId="659047B1" w14:textId="77777777" w:rsidR="00D5468E" w:rsidRDefault="00D5468E" w:rsidP="00D5468E">
      <w:pPr>
        <w:jc w:val="both"/>
        <w:rPr>
          <w:rFonts w:asciiTheme="majorBidi" w:hAnsiTheme="majorBidi" w:cstheme="majorBidi"/>
          <w:sz w:val="22"/>
          <w:szCs w:val="22"/>
        </w:rPr>
      </w:pPr>
    </w:p>
    <w:p w14:paraId="680174AF" w14:textId="77777777" w:rsidR="00B24FCB" w:rsidRDefault="00B24FCB" w:rsidP="00D5468E">
      <w:pPr>
        <w:jc w:val="both"/>
        <w:rPr>
          <w:rFonts w:asciiTheme="majorBidi" w:hAnsiTheme="majorBidi" w:cstheme="majorBidi"/>
          <w:sz w:val="22"/>
          <w:szCs w:val="22"/>
        </w:rPr>
      </w:pPr>
    </w:p>
    <w:p w14:paraId="0EBD3A1A" w14:textId="77777777" w:rsidR="00B24FCB" w:rsidRPr="00E77347" w:rsidRDefault="00B24FCB" w:rsidP="00D5468E">
      <w:pPr>
        <w:jc w:val="both"/>
        <w:rPr>
          <w:rFonts w:asciiTheme="majorBidi" w:hAnsiTheme="majorBidi" w:cstheme="majorBidi"/>
          <w:sz w:val="22"/>
          <w:szCs w:val="22"/>
        </w:rPr>
      </w:pPr>
    </w:p>
    <w:p w14:paraId="6B1B30C2" w14:textId="77777777" w:rsidR="00D5468E" w:rsidRPr="00B24FCB" w:rsidRDefault="00D5468E" w:rsidP="00D5468E">
      <w:pPr>
        <w:jc w:val="both"/>
        <w:rPr>
          <w:rFonts w:asciiTheme="majorBidi" w:hAnsiTheme="majorBidi" w:cstheme="majorBidi"/>
          <w:i/>
          <w:iCs/>
        </w:rPr>
      </w:pPr>
      <w:r w:rsidRPr="00B24FCB">
        <w:rPr>
          <w:rFonts w:asciiTheme="majorBidi" w:hAnsiTheme="majorBidi" w:cstheme="majorBidi"/>
          <w:i/>
          <w:iCs/>
        </w:rPr>
        <w:t>6.2 Policy and Industry Recommendations</w:t>
      </w:r>
    </w:p>
    <w:p w14:paraId="0D2A6C0E" w14:textId="71DC194F" w:rsidR="00D5468E" w:rsidRPr="00B24FCB" w:rsidRDefault="00D5468E" w:rsidP="00B24FCB">
      <w:pPr>
        <w:pStyle w:val="ListParagraph"/>
        <w:numPr>
          <w:ilvl w:val="0"/>
          <w:numId w:val="31"/>
        </w:numPr>
        <w:jc w:val="both"/>
        <w:rPr>
          <w:rFonts w:asciiTheme="majorBidi" w:hAnsiTheme="majorBidi" w:cstheme="majorBidi"/>
        </w:rPr>
      </w:pPr>
      <w:r w:rsidRPr="00B24FCB">
        <w:rPr>
          <w:rFonts w:asciiTheme="majorBidi" w:hAnsiTheme="majorBidi" w:cstheme="majorBidi"/>
        </w:rPr>
        <w:t>Adopt Integrated AI–IoT Systems: Stakeholders should prioritize end-to-end digitalization rather than isolated technology deployment to maximize benefits.</w:t>
      </w:r>
    </w:p>
    <w:p w14:paraId="2F800604" w14:textId="1EA50ECB" w:rsidR="00D5468E" w:rsidRPr="00B24FCB" w:rsidRDefault="00D5468E" w:rsidP="00B24FCB">
      <w:pPr>
        <w:pStyle w:val="ListParagraph"/>
        <w:numPr>
          <w:ilvl w:val="0"/>
          <w:numId w:val="31"/>
        </w:numPr>
        <w:jc w:val="both"/>
        <w:rPr>
          <w:rFonts w:asciiTheme="majorBidi" w:hAnsiTheme="majorBidi" w:cstheme="majorBidi"/>
        </w:rPr>
      </w:pPr>
      <w:r w:rsidRPr="00B24FCB">
        <w:rPr>
          <w:rFonts w:asciiTheme="majorBidi" w:hAnsiTheme="majorBidi" w:cstheme="majorBidi"/>
        </w:rPr>
        <w:t>Invest in Standardization and Interoperability: Open data frameworks, communication protocols, and modular system designs are critical for scalable adoption.</w:t>
      </w:r>
    </w:p>
    <w:p w14:paraId="5D739261" w14:textId="535448F0" w:rsidR="00D5468E" w:rsidRPr="00B24FCB" w:rsidRDefault="00D5468E" w:rsidP="00B24FCB">
      <w:pPr>
        <w:pStyle w:val="ListParagraph"/>
        <w:numPr>
          <w:ilvl w:val="0"/>
          <w:numId w:val="31"/>
        </w:numPr>
        <w:jc w:val="both"/>
        <w:rPr>
          <w:rFonts w:asciiTheme="majorBidi" w:hAnsiTheme="majorBidi" w:cstheme="majorBidi"/>
        </w:rPr>
      </w:pPr>
      <w:r w:rsidRPr="00B24FCB">
        <w:rPr>
          <w:rFonts w:asciiTheme="majorBidi" w:hAnsiTheme="majorBidi" w:cstheme="majorBidi"/>
        </w:rPr>
        <w:t>Incentivize Climate-Smart and Sustainable Practices: Policies supporting energy-efficient AI models, renewable-powered IoT infrastructure, and circular processing practices will enhance long-term sustainability.</w:t>
      </w:r>
    </w:p>
    <w:p w14:paraId="35C385A8" w14:textId="5640A514" w:rsidR="00D5468E" w:rsidRPr="00B24FCB" w:rsidRDefault="00D5468E" w:rsidP="00B24FCB">
      <w:pPr>
        <w:pStyle w:val="ListParagraph"/>
        <w:numPr>
          <w:ilvl w:val="0"/>
          <w:numId w:val="31"/>
        </w:numPr>
        <w:jc w:val="both"/>
        <w:rPr>
          <w:rFonts w:asciiTheme="majorBidi" w:hAnsiTheme="majorBidi" w:cstheme="majorBidi"/>
        </w:rPr>
      </w:pPr>
      <w:r w:rsidRPr="00B24FCB">
        <w:rPr>
          <w:rFonts w:asciiTheme="majorBidi" w:hAnsiTheme="majorBidi" w:cstheme="majorBidi"/>
        </w:rPr>
        <w:t>Promote Data Governance and Ethics: Clear regulations on data privacy, ownership, and cross-border traceability are necessary for effective system implementation.</w:t>
      </w:r>
    </w:p>
    <w:p w14:paraId="28EB3F85" w14:textId="77777777" w:rsidR="00D5468E" w:rsidRPr="00E77347" w:rsidRDefault="00D5468E" w:rsidP="00D5468E">
      <w:pPr>
        <w:jc w:val="both"/>
        <w:rPr>
          <w:rFonts w:asciiTheme="majorBidi" w:hAnsiTheme="majorBidi" w:cstheme="majorBidi"/>
          <w:sz w:val="22"/>
          <w:szCs w:val="22"/>
        </w:rPr>
      </w:pPr>
    </w:p>
    <w:p w14:paraId="63F0A1B6" w14:textId="77777777" w:rsidR="00D5468E" w:rsidRPr="00B24FCB" w:rsidRDefault="00D5468E" w:rsidP="00D5468E">
      <w:pPr>
        <w:jc w:val="both"/>
        <w:rPr>
          <w:rFonts w:asciiTheme="majorBidi" w:hAnsiTheme="majorBidi" w:cstheme="majorBidi"/>
          <w:i/>
          <w:iCs/>
        </w:rPr>
      </w:pPr>
      <w:r w:rsidRPr="00B24FCB">
        <w:rPr>
          <w:rFonts w:asciiTheme="majorBidi" w:hAnsiTheme="majorBidi" w:cstheme="majorBidi"/>
          <w:i/>
          <w:iCs/>
        </w:rPr>
        <w:t>6.3 Limitations and Future Directions</w:t>
      </w:r>
    </w:p>
    <w:p w14:paraId="2178BF80" w14:textId="77777777" w:rsidR="00D5468E" w:rsidRPr="00B24FCB" w:rsidRDefault="00D5468E" w:rsidP="00D5468E">
      <w:pPr>
        <w:jc w:val="both"/>
        <w:rPr>
          <w:rFonts w:asciiTheme="majorBidi" w:hAnsiTheme="majorBidi" w:cstheme="majorBidi"/>
        </w:rPr>
      </w:pPr>
      <w:r w:rsidRPr="00B24FCB">
        <w:rPr>
          <w:rFonts w:asciiTheme="majorBidi" w:hAnsiTheme="majorBidi" w:cstheme="majorBidi"/>
        </w:rPr>
        <w:t>Despite robust simulation results, several limitations remain:</w:t>
      </w:r>
    </w:p>
    <w:p w14:paraId="3057590F" w14:textId="77777777" w:rsidR="00D5468E" w:rsidRPr="00B24FCB" w:rsidRDefault="00D5468E" w:rsidP="00D5468E">
      <w:pPr>
        <w:pStyle w:val="ListParagraph"/>
        <w:numPr>
          <w:ilvl w:val="0"/>
          <w:numId w:val="19"/>
        </w:numPr>
        <w:jc w:val="both"/>
        <w:rPr>
          <w:rFonts w:asciiTheme="majorBidi" w:hAnsiTheme="majorBidi" w:cstheme="majorBidi"/>
        </w:rPr>
      </w:pPr>
      <w:r w:rsidRPr="00B24FCB">
        <w:rPr>
          <w:rFonts w:asciiTheme="majorBidi" w:hAnsiTheme="majorBidi" w:cstheme="majorBidi"/>
        </w:rPr>
        <w:t>Synthetic Data Constraints: While calibrated with empirical data, simulations cannot fully capture all field-level variability.</w:t>
      </w:r>
    </w:p>
    <w:p w14:paraId="220059D6" w14:textId="77777777" w:rsidR="00D5468E" w:rsidRPr="00B24FCB" w:rsidRDefault="00D5468E" w:rsidP="00D5468E">
      <w:pPr>
        <w:pStyle w:val="ListParagraph"/>
        <w:numPr>
          <w:ilvl w:val="0"/>
          <w:numId w:val="19"/>
        </w:numPr>
        <w:jc w:val="both"/>
        <w:rPr>
          <w:rFonts w:asciiTheme="majorBidi" w:hAnsiTheme="majorBidi" w:cstheme="majorBidi"/>
        </w:rPr>
      </w:pPr>
      <w:r w:rsidRPr="00B24FCB">
        <w:rPr>
          <w:rFonts w:asciiTheme="majorBidi" w:hAnsiTheme="majorBidi" w:cstheme="majorBidi"/>
        </w:rPr>
        <w:t>Infrastructure Assumptions: Full IoT connectivity and sensor reliability may not be achievable in resource-constrained regions.</w:t>
      </w:r>
    </w:p>
    <w:p w14:paraId="028321DD" w14:textId="77777777" w:rsidR="00D5468E" w:rsidRPr="00B24FCB" w:rsidRDefault="00D5468E" w:rsidP="00D5468E">
      <w:pPr>
        <w:pStyle w:val="ListParagraph"/>
        <w:numPr>
          <w:ilvl w:val="0"/>
          <w:numId w:val="19"/>
        </w:numPr>
        <w:jc w:val="both"/>
        <w:rPr>
          <w:rFonts w:asciiTheme="majorBidi" w:hAnsiTheme="majorBidi" w:cstheme="majorBidi"/>
        </w:rPr>
      </w:pPr>
      <w:r w:rsidRPr="00B24FCB">
        <w:rPr>
          <w:rFonts w:asciiTheme="majorBidi" w:hAnsiTheme="majorBidi" w:cstheme="majorBidi"/>
        </w:rPr>
        <w:t>Digitalization Footprint: The study does not fully quantify environmental impacts associated with AI computation and sensor deployment.</w:t>
      </w:r>
    </w:p>
    <w:p w14:paraId="7BB6DAD2" w14:textId="02E961F0" w:rsidR="00D5468E" w:rsidRPr="00B24FCB" w:rsidRDefault="00D5468E" w:rsidP="00D5468E">
      <w:pPr>
        <w:jc w:val="both"/>
        <w:rPr>
          <w:rFonts w:asciiTheme="majorBidi" w:hAnsiTheme="majorBidi" w:cstheme="majorBidi"/>
        </w:rPr>
      </w:pPr>
      <w:r w:rsidRPr="00B24FCB">
        <w:rPr>
          <w:rFonts w:asciiTheme="majorBidi" w:hAnsiTheme="majorBidi" w:cstheme="majorBidi"/>
        </w:rPr>
        <w:t>Future research should focus on field-level validation, energy-efficient AI architectures, and integration of governance frameworks to enhance applicability and sustainability. Additionally, cross-regional studies can improve the generalizability of AI models under diverse climatic and socio-economic conditions [</w:t>
      </w:r>
      <w:r w:rsidR="00751828">
        <w:rPr>
          <w:rFonts w:asciiTheme="majorBidi" w:hAnsiTheme="majorBidi" w:cstheme="majorBidi"/>
        </w:rPr>
        <w:t>28</w:t>
      </w:r>
      <w:r w:rsidRPr="00B24FCB">
        <w:rPr>
          <w:rFonts w:asciiTheme="majorBidi" w:hAnsiTheme="majorBidi" w:cstheme="majorBidi"/>
        </w:rPr>
        <w:t>][</w:t>
      </w:r>
      <w:r w:rsidR="00751828">
        <w:rPr>
          <w:rFonts w:asciiTheme="majorBidi" w:hAnsiTheme="majorBidi" w:cstheme="majorBidi"/>
        </w:rPr>
        <w:t>25</w:t>
      </w:r>
      <w:r w:rsidRPr="00B24FCB">
        <w:rPr>
          <w:rFonts w:asciiTheme="majorBidi" w:hAnsiTheme="majorBidi" w:cstheme="majorBidi"/>
        </w:rPr>
        <w:t>].</w:t>
      </w:r>
    </w:p>
    <w:p w14:paraId="30F5ABB2" w14:textId="77777777" w:rsidR="00D5468E" w:rsidRPr="00E77347" w:rsidRDefault="00D5468E" w:rsidP="00D5468E">
      <w:pPr>
        <w:jc w:val="both"/>
        <w:rPr>
          <w:rFonts w:asciiTheme="majorBidi" w:hAnsiTheme="majorBidi" w:cstheme="majorBidi"/>
          <w:sz w:val="22"/>
          <w:szCs w:val="22"/>
        </w:rPr>
      </w:pPr>
    </w:p>
    <w:p w14:paraId="5BC88A61" w14:textId="77777777" w:rsidR="00D5468E" w:rsidRPr="00B24FCB" w:rsidRDefault="00D5468E" w:rsidP="00D5468E">
      <w:pPr>
        <w:jc w:val="both"/>
        <w:rPr>
          <w:rFonts w:asciiTheme="majorBidi" w:hAnsiTheme="majorBidi" w:cstheme="majorBidi"/>
          <w:i/>
          <w:iCs/>
        </w:rPr>
      </w:pPr>
      <w:r w:rsidRPr="00B24FCB">
        <w:rPr>
          <w:rFonts w:asciiTheme="majorBidi" w:hAnsiTheme="majorBidi" w:cstheme="majorBidi"/>
          <w:i/>
          <w:iCs/>
        </w:rPr>
        <w:t>6.4 Final Remarks</w:t>
      </w:r>
    </w:p>
    <w:p w14:paraId="3771865A" w14:textId="77777777" w:rsidR="00D5468E" w:rsidRPr="00B24FCB" w:rsidRDefault="00D5468E" w:rsidP="00D5468E">
      <w:pPr>
        <w:jc w:val="both"/>
        <w:rPr>
          <w:rFonts w:asciiTheme="majorBidi" w:hAnsiTheme="majorBidi" w:cstheme="majorBidi"/>
        </w:rPr>
      </w:pPr>
      <w:r w:rsidRPr="00B24FCB">
        <w:rPr>
          <w:rFonts w:asciiTheme="majorBidi" w:hAnsiTheme="majorBidi" w:cstheme="majorBidi"/>
        </w:rPr>
        <w:t>This study demonstrates that AI- and sensor-driven smart food systems can substantially improve climate resilience, sustainability, and food safety across the food value chain. By addressing critical research gaps, providing a robust methodological framework, and quantifying multi-dimensional benefits, the work offers a foundation for future research, policy development, and practical deployment of digital food systems capable of meeting the demands of a changing climate and growing global population.</w:t>
      </w:r>
    </w:p>
    <w:p w14:paraId="193BFFBE" w14:textId="77777777" w:rsidR="00D5468E" w:rsidRPr="00E77347" w:rsidRDefault="00D5468E" w:rsidP="00D5468E">
      <w:pPr>
        <w:jc w:val="both"/>
        <w:rPr>
          <w:rFonts w:asciiTheme="majorBidi" w:hAnsiTheme="majorBidi" w:cstheme="majorBidi"/>
          <w:sz w:val="22"/>
          <w:szCs w:val="22"/>
        </w:rPr>
      </w:pPr>
    </w:p>
    <w:p w14:paraId="2DCED5B8" w14:textId="77777777" w:rsidR="00D5468E" w:rsidRDefault="00D5468E" w:rsidP="00D5468E">
      <w:pPr>
        <w:jc w:val="both"/>
        <w:rPr>
          <w:rFonts w:asciiTheme="majorBidi" w:hAnsiTheme="majorBidi" w:cstheme="majorBidi"/>
          <w:b/>
          <w:bCs/>
          <w:sz w:val="22"/>
          <w:szCs w:val="22"/>
        </w:rPr>
      </w:pPr>
      <w:r w:rsidRPr="00B24FCB">
        <w:rPr>
          <w:rFonts w:asciiTheme="majorBidi" w:hAnsiTheme="majorBidi" w:cstheme="majorBidi"/>
          <w:b/>
          <w:bCs/>
          <w:sz w:val="22"/>
          <w:szCs w:val="22"/>
        </w:rPr>
        <w:t xml:space="preserve"> References</w:t>
      </w:r>
    </w:p>
    <w:p w14:paraId="74330C24" w14:textId="77777777" w:rsidR="00B24FCB" w:rsidRPr="00B24FCB" w:rsidRDefault="00B24FCB" w:rsidP="00D5468E">
      <w:pPr>
        <w:jc w:val="both"/>
        <w:rPr>
          <w:rFonts w:asciiTheme="majorBidi" w:hAnsiTheme="majorBidi" w:cstheme="majorBidi"/>
          <w:b/>
          <w:bCs/>
          <w:sz w:val="22"/>
          <w:szCs w:val="22"/>
        </w:rPr>
      </w:pPr>
    </w:p>
    <w:p w14:paraId="72E9C86F"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[1] Miller T et al. The IoT and AI in Agriculture: The Time Is Now—A Systematic Review of Smart Sensing Technologies. Sensors. 2025;25(12):3583. doi:10.3390/s25123583</w:t>
      </w:r>
    </w:p>
    <w:p w14:paraId="0DBB4D4D"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[2] Liu L, Cheng W, Kuo H-W. A Narrative Review on Smart Sensors and IoT Solutions for Sustainable Agriculture and Aquaculture Practices. Sustainability. 2025;17(12):5256. doi:10.3390/su17125256</w:t>
      </w:r>
    </w:p>
    <w:p w14:paraId="659149EE"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[3] How the Internet of Things technology improves agricultural efficiency. Artificial Intelligence Review. 2024. doi:10.1007/s10462-024-11046-0</w:t>
      </w:r>
    </w:p>
    <w:p w14:paraId="11CE09D4"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[4] López-Quílez A. AI, IoT and Remote Sensing in Precision Agriculture. Applied Sciences. 2025;15(6):2890. doi:10.3390/app15062890</w:t>
      </w:r>
    </w:p>
    <w:p w14:paraId="285BBFBE"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[5] Advancing agriculture through IoT, Big Data, and AI: A review of smart technologies enabling sustainability. Smart Agricultural Technology. 2025;10:100848. doi:10.1016/j.atech.2025.100848</w:t>
      </w:r>
    </w:p>
    <w:p w14:paraId="62D79890"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[6] IoT and AI for smart agriculture in resource-constrained environments: challenges, opportunities and solutions. Discover Internet of Things. 2025. doi:10.1007/s43926-025-00119-3</w:t>
      </w:r>
    </w:p>
    <w:p w14:paraId="0404C387"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[7] Integrating IoT sensors and machine learning for sustainable precision agroecology. Discover Agriculture. 2025. doi:10.1007/s44279-025-00247-y</w:t>
      </w:r>
    </w:p>
    <w:p w14:paraId="45CDC525"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[8] On-device AI for climate-resilient farming with intelligent crop yield prediction. Scientific Reports. 2025;15:31195. doi:10.1038/s41598-025-16014-4</w:t>
      </w:r>
    </w:p>
    <w:p w14:paraId="0210F1A4"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[9] Revolutionizing agriculture: a review of smart farming technologies for a sustainable future. Discover Applied Sciences. 2025. doi:10.1007/s42452-025-07561-6</w:t>
      </w:r>
    </w:p>
    <w:p w14:paraId="5F12C1D8"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[10] A technical survey on practical applications and guidelines for IoT sensors in precision agriculture and viticulture. Scientific Reports. 2025. doi:10.1038/s41598-024-80924-y</w:t>
      </w:r>
    </w:p>
    <w:p w14:paraId="6DA36E2F"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[11] IoT Solutions with Artificial Intelligence Technologies for Precision Agriculture. Electronics. 2024;13(10):1894. doi:10.3390/electronics13101894</w:t>
      </w:r>
    </w:p>
    <w:p w14:paraId="31C6F570"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lastRenderedPageBreak/>
        <w:t>[12] A Review of Precision Irrigation Water-Saving Technology under Changing Climate. Agriculture. 2024;14(7):1141. doi:10.3390/agriculture14071141</w:t>
      </w:r>
    </w:p>
    <w:p w14:paraId="38C2A6F9"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[13] Integration of smart sensors and IOT in precision agriculture: trends, challenges and future prospectives. Frontiers in Plant Science. 2025. doi:10.3389/fpls.2025.1587869</w:t>
      </w:r>
    </w:p>
    <w:p w14:paraId="1E8C7DC5"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[14] AI and Related Technologies in the Fields of Smart Agriculture: A Review. Information. 2025;16(2):100. doi:10.3390/info16020100</w:t>
      </w:r>
    </w:p>
    <w:p w14:paraId="0EC1A3D8"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[15] Deep learning and computer vision in plant disease detection: a comprehensive review. Artificial Intelligence Review. 2025. doi:10.1007/s10462-024-11100-x</w:t>
      </w:r>
    </w:p>
    <w:p w14:paraId="35B74E91"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[16] Hyperspectral Image Analysis and Machine Learning Techniques for Crop Disease Detection. Sustainability. 2024;16(14):6064. doi:10.3390/su16146064</w:t>
      </w:r>
    </w:p>
    <w:p w14:paraId="544DD3E3"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[17] Deep learning techniques for hyperspectral image analysis in agriculture: A review. Computers and Electronics in Agriculture. 2024. doi:10.1016/j.compag.2024.108577</w:t>
      </w:r>
    </w:p>
    <w:p w14:paraId="48C682AE"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[18] Recent advances in plant disease detection: challenges and opportunities. Plant Methods. 2025. doi:10.1186/s13007-025-01450-0</w:t>
      </w:r>
    </w:p>
    <w:p w14:paraId="0290378A"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[19] Reinforcement Learning-Based Agricultural Fertilization and Irrigation Considering N2O Emissions. Air, Soil and Water Research. 2025;7(8):252. doi:10.3390/soilsystems7080252</w:t>
      </w:r>
    </w:p>
    <w:p w14:paraId="71AF52F1"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[20] Smart drip irrigation systems using IoT: a review. Discover Agriculture. 2025. doi:10.1007/s44279-025-00430-1</w:t>
      </w:r>
    </w:p>
    <w:p w14:paraId="6E0DCF07"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[21] Smart Irrigation Technologies and Prospects for Enhancing Water Use Efficiency. Air, Soil and Water Research. 2025;7(4):106. doi:10.3390/soilsystems7040106</w:t>
      </w:r>
    </w:p>
    <w:p w14:paraId="22CC2A78"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[22] Blockchain-Based Frameworks for Food Traceability: A Systematic Review. Foods. 2023;12(16):3026. doi:10.3390/foods12163026</w:t>
      </w:r>
    </w:p>
    <w:p w14:paraId="0D85F8DE"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[23] Digital Transformation of Food Supply Chain Management Using Blockchain. Business &amp; Information Systems Engineering. 2025. doi:10.1007/s12599-025-00948-0</w:t>
      </w:r>
    </w:p>
    <w:p w14:paraId="67A903C2"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[24] Blockchain implementation for food safety in supply chain: A review. Comprehensive Reviews in Food Science and Food Safety. 2024. doi:10.1111/1541-4337.70002</w:t>
      </w:r>
    </w:p>
    <w:p w14:paraId="5A0222A2"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[25] Integrating AI with detection methods, IoT, and blockchain to achieve food authenticity. Trends in Food Science &amp; Technology. 2025. doi:10.1016/j.tifs.2025.104061</w:t>
      </w:r>
    </w:p>
    <w:p w14:paraId="1EF7960B"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[26] Digitalization in the European agri-food supply chain: a scoping review. Frontiers in Blockchain. 2025. doi:10.3389/fbloc.2025.1701872</w:t>
      </w:r>
    </w:p>
    <w:p w14:paraId="1B43DAC5"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[27] Blockchain-Driven Food Supply Chains: A Systematic Review. Applied Sciences. 2024;14(19):8944. doi:10.3390/app14198944</w:t>
      </w:r>
    </w:p>
    <w:p w14:paraId="152C88F1"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[28] A comprehensive review of blockchain with artificial intelligence integration for enhancing food safety. Innovative Food Science &amp; Emerging Technologies. 2025. doi:10.1016/j.ifset.2025.103103</w:t>
      </w:r>
    </w:p>
    <w:p w14:paraId="688E4311"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[29] Image‐based crop disease detection using machine learning. Plant Pathology. 2025. doi:10.1111/ppa.14006</w:t>
      </w:r>
    </w:p>
    <w:p w14:paraId="34AFC1E3"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[30] Smart intercropping system to detect leaf disease using hyperspectral imaging and hybrid deep learning. Frontiers in Plant Science. 2025. doi:10.3389/fpls.2025.1662251</w:t>
      </w:r>
    </w:p>
    <w:p w14:paraId="55ADEBB8"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[31] Greenhouse Irrigation Control Based on Reinforcement Learning. Agronomy. 2025;15(12):2781. doi:10.3390/agronomy15122781</w:t>
      </w:r>
    </w:p>
    <w:p w14:paraId="0C38CBE9" w14:textId="77777777" w:rsidR="00D5468E" w:rsidRPr="00B93FA7" w:rsidRDefault="00D5468E" w:rsidP="00B93FA7">
      <w:pPr>
        <w:spacing w:line="276" w:lineRule="auto"/>
        <w:jc w:val="both"/>
        <w:rPr>
          <w:rFonts w:asciiTheme="majorBidi" w:hAnsiTheme="majorBidi" w:cstheme="majorBidi"/>
          <w:i/>
          <w:iCs/>
        </w:rPr>
      </w:pPr>
      <w:r w:rsidRPr="00B93FA7">
        <w:rPr>
          <w:rFonts w:asciiTheme="majorBidi" w:hAnsiTheme="majorBidi" w:cstheme="majorBidi"/>
          <w:i/>
          <w:iCs/>
        </w:rPr>
        <w:t>[32] Smart Irrigation Scheduling for Crop Production Using a Crop Model and Improved Deep Reinforcement Learning. Agriculture. 2025;15(24):2569. doi:10.3390/agriculture15242569</w:t>
      </w:r>
    </w:p>
    <w:p w14:paraId="79F369DB" w14:textId="77777777" w:rsidR="00D5468E" w:rsidRPr="00B93FA7" w:rsidRDefault="00D5468E" w:rsidP="00B93FA7">
      <w:pPr>
        <w:spacing w:line="276" w:lineRule="auto"/>
        <w:jc w:val="both"/>
        <w:rPr>
          <w:rFonts w:asciiTheme="majorBidi" w:hAnsiTheme="majorBidi" w:cstheme="majorBidi"/>
        </w:rPr>
      </w:pPr>
      <w:r w:rsidRPr="00B93FA7">
        <w:rPr>
          <w:rFonts w:asciiTheme="majorBidi" w:hAnsiTheme="majorBidi" w:cstheme="majorBidi"/>
          <w:i/>
          <w:iCs/>
        </w:rPr>
        <w:t>[33] Deep learning-based time series prediction for precision field crop protection. Frontiers in Plant Science. 2025. doi:10.3389/fpls.2025.1575796</w:t>
      </w:r>
    </w:p>
    <w:p w14:paraId="0A30E9F4" w14:textId="77777777" w:rsidR="00D5468E" w:rsidRPr="00B93FA7" w:rsidRDefault="00D5468E" w:rsidP="00B93FA7">
      <w:pPr>
        <w:spacing w:line="276" w:lineRule="auto"/>
        <w:jc w:val="both"/>
        <w:rPr>
          <w:rFonts w:asciiTheme="majorBidi" w:hAnsiTheme="majorBidi" w:cstheme="majorBidi"/>
        </w:rPr>
      </w:pPr>
    </w:p>
    <w:p w14:paraId="2AA3ECC0" w14:textId="77777777" w:rsidR="00992AEA" w:rsidRDefault="00992AEA" w:rsidP="00D5468E">
      <w:pPr>
        <w:pStyle w:val="Heading2"/>
        <w:ind w:left="567" w:right="567"/>
        <w:jc w:val="right"/>
      </w:pPr>
    </w:p>
    <w:sectPr w:rsidR="00992AEA" w:rsidSect="00D5468E">
      <w:headerReference w:type="default" r:id="rId19"/>
      <w:footerReference w:type="even" r:id="rId20"/>
      <w:footerReference w:type="default" r:id="rId21"/>
      <w:type w:val="continuous"/>
      <w:pgSz w:w="11907" w:h="16840"/>
      <w:pgMar w:top="1530" w:right="1418" w:bottom="1418" w:left="1134"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08F3E4" w14:textId="77777777" w:rsidR="00AD693A" w:rsidRDefault="00AD693A">
      <w:r>
        <w:separator/>
      </w:r>
    </w:p>
  </w:endnote>
  <w:endnote w:type="continuationSeparator" w:id="0">
    <w:p w14:paraId="6FED2908" w14:textId="77777777" w:rsidR="00AD693A" w:rsidRDefault="00AD69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40902020509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azanin">
    <w:altName w:val="Arial"/>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Mitra">
    <w:panose1 w:val="00000400000000000000"/>
    <w:charset w:val="B2"/>
    <w:family w:val="auto"/>
    <w:pitch w:val="variable"/>
    <w:sig w:usb0="00002001" w:usb1="80000000" w:usb2="00000008" w:usb3="00000000" w:csb0="00000040" w:csb1="00000000"/>
  </w:font>
  <w:font w:name="Lotus">
    <w:panose1 w:val="00000400000000000000"/>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Zar">
    <w:charset w:val="B2"/>
    <w:family w:val="auto"/>
    <w:pitch w:val="variable"/>
    <w:sig w:usb0="00002001" w:usb1="80000000" w:usb2="00000008" w:usb3="00000000" w:csb0="00000040" w:csb1="00000000"/>
  </w:font>
  <w:font w:name="Yagut">
    <w:panose1 w:val="00000400000000000000"/>
    <w:charset w:val="B2"/>
    <w:family w:val="auto"/>
    <w:pitch w:val="variable"/>
    <w:sig w:usb0="00002001" w:usb1="80000000" w:usb2="00000008" w:usb3="00000000" w:csb0="00000040" w:csb1="00000000"/>
  </w:font>
  <w:font w:name="SimSun">
    <w:altName w:val="宋体"/>
    <w:panose1 w:val="02010600030101010101"/>
    <w:charset w:val="86"/>
    <w:family w:val="auto"/>
    <w:pitch w:val="variable"/>
    <w:sig w:usb0="00000203" w:usb1="288F0000" w:usb2="00000016" w:usb3="00000000" w:csb0="00040001" w:csb1="00000000"/>
  </w:font>
  <w:font w:name="Mitra Mazar">
    <w:altName w:val="Times New Roman"/>
    <w:panose1 w:val="00000000000000000000"/>
    <w:charset w:val="B2"/>
    <w:family w:val="auto"/>
    <w:pitch w:val="variable"/>
    <w:sig w:usb0="00002001" w:usb1="00000000" w:usb2="00000000" w:usb3="00000000" w:csb0="0000004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Franklin Gothic Demi Cond">
    <w:panose1 w:val="020B070603040202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3CA65" w14:textId="77777777" w:rsidR="0076212E" w:rsidRDefault="00CA169D" w:rsidP="008C75F1">
    <w:pPr>
      <w:pStyle w:val="Footer"/>
      <w:framePr w:wrap="around" w:vAnchor="text" w:hAnchor="margin" w:xAlign="center" w:y="1"/>
      <w:rPr>
        <w:rStyle w:val="PageNumber"/>
      </w:rPr>
    </w:pPr>
    <w:r>
      <w:rPr>
        <w:rStyle w:val="PageNumber"/>
      </w:rPr>
      <w:fldChar w:fldCharType="begin"/>
    </w:r>
    <w:r w:rsidR="0076212E">
      <w:rPr>
        <w:rStyle w:val="PageNumber"/>
      </w:rPr>
      <w:instrText xml:space="preserve">PAGE  </w:instrText>
    </w:r>
    <w:r>
      <w:rPr>
        <w:rStyle w:val="PageNumber"/>
      </w:rPr>
      <w:fldChar w:fldCharType="end"/>
    </w:r>
  </w:p>
  <w:p w14:paraId="06187C0E" w14:textId="77777777" w:rsidR="0076212E" w:rsidRDefault="007621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92116" w14:textId="48577AEF" w:rsidR="009869C7" w:rsidRPr="009869C7" w:rsidRDefault="009869C7">
    <w:pPr>
      <w:pStyle w:val="Footer"/>
      <w:jc w:val="center"/>
      <w:rPr>
        <w:caps/>
      </w:rPr>
    </w:pPr>
    <w:r w:rsidRPr="009869C7">
      <w:rPr>
        <w:caps/>
        <w:noProof w:val="0"/>
      </w:rPr>
      <w:fldChar w:fldCharType="begin"/>
    </w:r>
    <w:r w:rsidRPr="009869C7">
      <w:rPr>
        <w:caps/>
      </w:rPr>
      <w:instrText xml:space="preserve"> PAGE   \* MERGEFORMAT </w:instrText>
    </w:r>
    <w:r w:rsidRPr="009869C7">
      <w:rPr>
        <w:caps/>
        <w:noProof w:val="0"/>
      </w:rPr>
      <w:fldChar w:fldCharType="separate"/>
    </w:r>
    <w:r w:rsidR="002F6FBE">
      <w:rPr>
        <w:caps/>
      </w:rPr>
      <w:t>1</w:t>
    </w:r>
    <w:r w:rsidRPr="009869C7">
      <w:rPr>
        <w:caps/>
      </w:rPr>
      <w:fldChar w:fldCharType="end"/>
    </w:r>
  </w:p>
  <w:p w14:paraId="20575974" w14:textId="77777777" w:rsidR="009869C7" w:rsidRDefault="009869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E6B413" w14:textId="77777777" w:rsidR="00AD693A" w:rsidRDefault="00AD693A" w:rsidP="0010114F">
      <w:pPr>
        <w:bidi/>
      </w:pPr>
      <w:r>
        <w:separator/>
      </w:r>
    </w:p>
  </w:footnote>
  <w:footnote w:type="continuationSeparator" w:id="0">
    <w:p w14:paraId="215CA1BB" w14:textId="77777777" w:rsidR="00AD693A" w:rsidRDefault="00AD69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B0E6D" w14:textId="7A8E8838" w:rsidR="00931BA1" w:rsidRDefault="000A573C" w:rsidP="00AA30C4">
    <w:pPr>
      <w:pStyle w:val="Header"/>
    </w:pPr>
    <w:r>
      <w:rPr>
        <w:noProof/>
        <w:snapToGrid/>
      </w:rPr>
      <w:drawing>
        <wp:anchor distT="0" distB="0" distL="114300" distR="114300" simplePos="0" relativeHeight="251658240" behindDoc="1" locked="0" layoutInCell="1" allowOverlap="1" wp14:anchorId="490CC1C2" wp14:editId="26FC5787">
          <wp:simplePos x="0" y="0"/>
          <wp:positionH relativeFrom="page">
            <wp:align>right</wp:align>
          </wp:positionH>
          <wp:positionV relativeFrom="paragraph">
            <wp:posOffset>-354965</wp:posOffset>
          </wp:positionV>
          <wp:extent cx="5940425" cy="873760"/>
          <wp:effectExtent l="0" t="0" r="3175" b="2540"/>
          <wp:wrapTight wrapText="bothSides">
            <wp:wrapPolygon edited="0">
              <wp:start x="0" y="0"/>
              <wp:lineTo x="0" y="21192"/>
              <wp:lineTo x="21542" y="21192"/>
              <wp:lineTo x="21542"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341571" name="Picture 881341571"/>
                  <pic:cNvPicPr/>
                </pic:nvPicPr>
                <pic:blipFill>
                  <a:blip r:embed="rId1">
                    <a:extLst>
                      <a:ext uri="{28A0092B-C50C-407E-A947-70E740481C1C}">
                        <a14:useLocalDpi xmlns:a14="http://schemas.microsoft.com/office/drawing/2010/main" val="0"/>
                      </a:ext>
                    </a:extLst>
                  </a:blip>
                  <a:stretch>
                    <a:fillRect/>
                  </a:stretch>
                </pic:blipFill>
                <pic:spPr>
                  <a:xfrm>
                    <a:off x="0" y="0"/>
                    <a:ext cx="5940425" cy="87376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B8061D"/>
    <w:multiLevelType w:val="multilevel"/>
    <w:tmpl w:val="8C6C7A6E"/>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 w15:restartNumberingAfterBreak="0">
    <w:nsid w:val="0A4A610B"/>
    <w:multiLevelType w:val="multilevel"/>
    <w:tmpl w:val="03FA01AA"/>
    <w:lvl w:ilvl="0">
      <w:start w:val="1"/>
      <w:numFmt w:val="decimal"/>
      <w:lvlText w:val="%1-"/>
      <w:lvlJc w:val="left"/>
      <w:pPr>
        <w:tabs>
          <w:tab w:val="num" w:pos="360"/>
        </w:tabs>
        <w:ind w:left="360" w:hanging="360"/>
      </w:pPr>
      <w:rPr>
        <w:rFonts w:ascii="Arial" w:hAnsi="Arial" w:cs="B Nazanin" w:hint="default"/>
        <w:b w:val="0"/>
        <w:bCs w:val="0"/>
        <w:i w:val="0"/>
        <w:iCs w:val="0"/>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105A72BF"/>
    <w:multiLevelType w:val="hybridMultilevel"/>
    <w:tmpl w:val="55CA8AEE"/>
    <w:lvl w:ilvl="0" w:tplc="5212126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19946CC"/>
    <w:multiLevelType w:val="hybridMultilevel"/>
    <w:tmpl w:val="DCD42D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7D01B8"/>
    <w:multiLevelType w:val="hybridMultilevel"/>
    <w:tmpl w:val="3AEAA6AA"/>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 w15:restartNumberingAfterBreak="0">
    <w:nsid w:val="16B7200B"/>
    <w:multiLevelType w:val="hybridMultilevel"/>
    <w:tmpl w:val="F1A61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6337BD"/>
    <w:multiLevelType w:val="hybridMultilevel"/>
    <w:tmpl w:val="0D3E5F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7A00D7"/>
    <w:multiLevelType w:val="hybridMultilevel"/>
    <w:tmpl w:val="BDAE58D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DCC7C01"/>
    <w:multiLevelType w:val="multilevel"/>
    <w:tmpl w:val="7C30BBB6"/>
    <w:lvl w:ilvl="0">
      <w:start w:val="1"/>
      <w:numFmt w:val="decimal"/>
      <w:lvlText w:val="%1-"/>
      <w:lvlJc w:val="left"/>
      <w:pPr>
        <w:tabs>
          <w:tab w:val="num" w:pos="360"/>
        </w:tabs>
        <w:ind w:left="360" w:hanging="360"/>
      </w:pPr>
      <w:rPr>
        <w:rFonts w:ascii="Arial" w:hAnsi="Arial" w:cs="B Nazanin"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9" w15:restartNumberingAfterBreak="0">
    <w:nsid w:val="3FC07CA6"/>
    <w:multiLevelType w:val="hybridMultilevel"/>
    <w:tmpl w:val="1B32C7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692CDB"/>
    <w:multiLevelType w:val="hybridMultilevel"/>
    <w:tmpl w:val="0324EB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BC1E74"/>
    <w:multiLevelType w:val="hybridMultilevel"/>
    <w:tmpl w:val="FEAE24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C4D769B"/>
    <w:multiLevelType w:val="hybridMultilevel"/>
    <w:tmpl w:val="5E4047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3" w15:restartNumberingAfterBreak="0">
    <w:nsid w:val="4C7A20DC"/>
    <w:multiLevelType w:val="hybridMultilevel"/>
    <w:tmpl w:val="9AA2DF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D6B58C1"/>
    <w:multiLevelType w:val="hybridMultilevel"/>
    <w:tmpl w:val="D3B2EFE4"/>
    <w:lvl w:ilvl="0" w:tplc="7F04274C">
      <w:start w:val="2"/>
      <w:numFmt w:val="bullet"/>
      <w:lvlText w:val=""/>
      <w:lvlJc w:val="left"/>
      <w:pPr>
        <w:tabs>
          <w:tab w:val="num" w:pos="720"/>
        </w:tabs>
        <w:ind w:left="720" w:hanging="360"/>
      </w:pPr>
      <w:rPr>
        <w:rFonts w:ascii="Symbol" w:eastAsia="Times New Roman" w:hAnsi="Symbol" w:cs="Nazani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81C6B08"/>
    <w:multiLevelType w:val="hybridMultilevel"/>
    <w:tmpl w:val="E4D8CD64"/>
    <w:lvl w:ilvl="0" w:tplc="F7807F16">
      <w:start w:val="5"/>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D612F3C"/>
    <w:multiLevelType w:val="hybridMultilevel"/>
    <w:tmpl w:val="49C8E0F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 w15:restartNumberingAfterBreak="0">
    <w:nsid w:val="5FB15915"/>
    <w:multiLevelType w:val="hybridMultilevel"/>
    <w:tmpl w:val="B874D19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8" w15:restartNumberingAfterBreak="0">
    <w:nsid w:val="5FB72A23"/>
    <w:multiLevelType w:val="hybridMultilevel"/>
    <w:tmpl w:val="124678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A4D5B10"/>
    <w:multiLevelType w:val="multilevel"/>
    <w:tmpl w:val="70B42668"/>
    <w:lvl w:ilvl="0">
      <w:start w:val="1"/>
      <w:numFmt w:val="decimal"/>
      <w:lvlText w:val="%1-"/>
      <w:lvlJc w:val="left"/>
      <w:pPr>
        <w:tabs>
          <w:tab w:val="num" w:pos="360"/>
        </w:tabs>
        <w:ind w:left="360" w:hanging="360"/>
      </w:pPr>
      <w:rPr>
        <w:rFonts w:ascii="Arial" w:hAnsi="Arial" w:cs="B Nazanin" w:hint="default"/>
        <w:b w:val="0"/>
        <w:bCs w:val="0"/>
        <w:i w:val="0"/>
        <w:iCs w:val="0"/>
        <w:sz w:val="20"/>
        <w:szCs w:val="22"/>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0" w15:restartNumberingAfterBreak="0">
    <w:nsid w:val="6C1409EC"/>
    <w:multiLevelType w:val="multilevel"/>
    <w:tmpl w:val="82E02D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C2515E5"/>
    <w:multiLevelType w:val="hybridMultilevel"/>
    <w:tmpl w:val="5D34FD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C607652"/>
    <w:multiLevelType w:val="multilevel"/>
    <w:tmpl w:val="E6B2FC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D772FF5"/>
    <w:multiLevelType w:val="hybridMultilevel"/>
    <w:tmpl w:val="B2FE6D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51C7C63"/>
    <w:multiLevelType w:val="hybridMultilevel"/>
    <w:tmpl w:val="BA3C46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59A7757"/>
    <w:multiLevelType w:val="multilevel"/>
    <w:tmpl w:val="62FA780C"/>
    <w:lvl w:ilvl="0">
      <w:start w:val="1"/>
      <w:numFmt w:val="decimal"/>
      <w:lvlText w:val="%1-"/>
      <w:lvlJc w:val="left"/>
      <w:pPr>
        <w:tabs>
          <w:tab w:val="num" w:pos="360"/>
        </w:tabs>
        <w:ind w:left="360" w:hanging="360"/>
      </w:pPr>
      <w:rPr>
        <w:rFonts w:ascii="Arial" w:hAnsi="Arial" w:cs="B Nazanin" w:hint="default"/>
        <w:b w:val="0"/>
        <w:bCs w:val="0"/>
        <w:i w:val="0"/>
        <w:iCs w:val="0"/>
        <w:sz w:val="18"/>
        <w:szCs w:val="22"/>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6" w15:restartNumberingAfterBreak="0">
    <w:nsid w:val="761B4289"/>
    <w:multiLevelType w:val="hybridMultilevel"/>
    <w:tmpl w:val="6EB216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81F041C"/>
    <w:multiLevelType w:val="hybridMultilevel"/>
    <w:tmpl w:val="91F86FB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8" w15:restartNumberingAfterBreak="0">
    <w:nsid w:val="793131FA"/>
    <w:multiLevelType w:val="multilevel"/>
    <w:tmpl w:val="03FA01AA"/>
    <w:lvl w:ilvl="0">
      <w:start w:val="1"/>
      <w:numFmt w:val="decimal"/>
      <w:lvlText w:val="%1-"/>
      <w:lvlJc w:val="left"/>
      <w:pPr>
        <w:tabs>
          <w:tab w:val="num" w:pos="360"/>
        </w:tabs>
        <w:ind w:left="360" w:hanging="360"/>
      </w:pPr>
      <w:rPr>
        <w:rFonts w:ascii="Arial" w:hAnsi="Arial" w:cs="B Nazanin" w:hint="default"/>
        <w:b w:val="0"/>
        <w:bCs w:val="0"/>
        <w:i w:val="0"/>
        <w:iCs w:val="0"/>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9" w15:restartNumberingAfterBreak="0">
    <w:nsid w:val="796561AF"/>
    <w:multiLevelType w:val="multilevel"/>
    <w:tmpl w:val="A308D5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D922BBA"/>
    <w:multiLevelType w:val="hybridMultilevel"/>
    <w:tmpl w:val="49D84346"/>
    <w:lvl w:ilvl="0" w:tplc="2CD65770">
      <w:start w:val="1"/>
      <w:numFmt w:val="decimal"/>
      <w:lvlText w:val="%1-"/>
      <w:lvlJc w:val="left"/>
      <w:pPr>
        <w:tabs>
          <w:tab w:val="num" w:pos="360"/>
        </w:tabs>
        <w:ind w:left="360" w:hanging="360"/>
      </w:pPr>
      <w:rPr>
        <w:rFonts w:ascii="Arial" w:hAnsi="Arial" w:cs="Nazanin" w:hint="default"/>
        <w:b w:val="0"/>
        <w:bCs w:val="0"/>
        <w:i w:val="0"/>
        <w:iCs w:val="0"/>
        <w:sz w:val="18"/>
        <w:szCs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16cid:durableId="1510411430">
    <w:abstractNumId w:val="14"/>
  </w:num>
  <w:num w:numId="2" w16cid:durableId="1736972300">
    <w:abstractNumId w:val="7"/>
  </w:num>
  <w:num w:numId="3" w16cid:durableId="897127909">
    <w:abstractNumId w:val="30"/>
  </w:num>
  <w:num w:numId="4" w16cid:durableId="728311714">
    <w:abstractNumId w:val="0"/>
  </w:num>
  <w:num w:numId="5" w16cid:durableId="701321175">
    <w:abstractNumId w:val="8"/>
  </w:num>
  <w:num w:numId="6" w16cid:durableId="43144089">
    <w:abstractNumId w:val="28"/>
  </w:num>
  <w:num w:numId="7" w16cid:durableId="1362121432">
    <w:abstractNumId w:val="1"/>
  </w:num>
  <w:num w:numId="8" w16cid:durableId="1541504793">
    <w:abstractNumId w:val="19"/>
  </w:num>
  <w:num w:numId="9" w16cid:durableId="1969123017">
    <w:abstractNumId w:val="25"/>
  </w:num>
  <w:num w:numId="10" w16cid:durableId="209731956">
    <w:abstractNumId w:val="2"/>
  </w:num>
  <w:num w:numId="11" w16cid:durableId="1435202018">
    <w:abstractNumId w:val="15"/>
  </w:num>
  <w:num w:numId="12" w16cid:durableId="351492835">
    <w:abstractNumId w:val="5"/>
  </w:num>
  <w:num w:numId="13" w16cid:durableId="477263690">
    <w:abstractNumId w:val="22"/>
  </w:num>
  <w:num w:numId="14" w16cid:durableId="1045790232">
    <w:abstractNumId w:val="29"/>
  </w:num>
  <w:num w:numId="15" w16cid:durableId="660936591">
    <w:abstractNumId w:val="20"/>
  </w:num>
  <w:num w:numId="16" w16cid:durableId="1718553865">
    <w:abstractNumId w:val="11"/>
  </w:num>
  <w:num w:numId="17" w16cid:durableId="1114203562">
    <w:abstractNumId w:val="27"/>
  </w:num>
  <w:num w:numId="18" w16cid:durableId="2003384861">
    <w:abstractNumId w:val="12"/>
  </w:num>
  <w:num w:numId="19" w16cid:durableId="819813614">
    <w:abstractNumId w:val="16"/>
  </w:num>
  <w:num w:numId="20" w16cid:durableId="1789157242">
    <w:abstractNumId w:val="17"/>
  </w:num>
  <w:num w:numId="21" w16cid:durableId="1939291366">
    <w:abstractNumId w:val="4"/>
  </w:num>
  <w:num w:numId="22" w16cid:durableId="2113159928">
    <w:abstractNumId w:val="9"/>
  </w:num>
  <w:num w:numId="23" w16cid:durableId="415136037">
    <w:abstractNumId w:val="10"/>
  </w:num>
  <w:num w:numId="24" w16cid:durableId="8718912">
    <w:abstractNumId w:val="21"/>
  </w:num>
  <w:num w:numId="25" w16cid:durableId="1440031498">
    <w:abstractNumId w:val="18"/>
  </w:num>
  <w:num w:numId="26" w16cid:durableId="1874689872">
    <w:abstractNumId w:val="23"/>
  </w:num>
  <w:num w:numId="27" w16cid:durableId="1688676331">
    <w:abstractNumId w:val="6"/>
  </w:num>
  <w:num w:numId="28" w16cid:durableId="1599942539">
    <w:abstractNumId w:val="13"/>
  </w:num>
  <w:num w:numId="29" w16cid:durableId="1022900440">
    <w:abstractNumId w:val="3"/>
  </w:num>
  <w:num w:numId="30" w16cid:durableId="1535775243">
    <w:abstractNumId w:val="26"/>
  </w:num>
  <w:num w:numId="31" w16cid:durableId="173480876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89"/>
  <w:drawingGridVerticalSpacing w:val="121"/>
  <w:displayHorizontalDrawingGridEvery w:val="0"/>
  <w:displayVerticalDrawingGridEvery w:val="2"/>
  <w:noPunctuationKerning/>
  <w:characterSpacingControl w:val="doNotCompress"/>
  <w:hdrShapeDefaults>
    <o:shapedefaults v:ext="edit" spidmax="2050" fillcolor="white" stroke="f">
      <v:fill color="white"/>
      <v:stroke on="f"/>
      <v:textbox style="layout-flow:vertical"/>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7C6E"/>
    <w:rsid w:val="00005A8A"/>
    <w:rsid w:val="0000762C"/>
    <w:rsid w:val="00012964"/>
    <w:rsid w:val="00013D1C"/>
    <w:rsid w:val="00013D8F"/>
    <w:rsid w:val="000223BA"/>
    <w:rsid w:val="00023E17"/>
    <w:rsid w:val="0002405D"/>
    <w:rsid w:val="0002571C"/>
    <w:rsid w:val="000304FB"/>
    <w:rsid w:val="00031EC5"/>
    <w:rsid w:val="000329D0"/>
    <w:rsid w:val="00035264"/>
    <w:rsid w:val="00040DAF"/>
    <w:rsid w:val="00046639"/>
    <w:rsid w:val="000474F1"/>
    <w:rsid w:val="000575A4"/>
    <w:rsid w:val="00057E00"/>
    <w:rsid w:val="000627A5"/>
    <w:rsid w:val="00064DC1"/>
    <w:rsid w:val="000661D4"/>
    <w:rsid w:val="00067051"/>
    <w:rsid w:val="00075BF3"/>
    <w:rsid w:val="00076D30"/>
    <w:rsid w:val="00080D73"/>
    <w:rsid w:val="000818AE"/>
    <w:rsid w:val="00082178"/>
    <w:rsid w:val="00082716"/>
    <w:rsid w:val="0008422C"/>
    <w:rsid w:val="0008444E"/>
    <w:rsid w:val="00084597"/>
    <w:rsid w:val="000868F5"/>
    <w:rsid w:val="0009108B"/>
    <w:rsid w:val="00091ADC"/>
    <w:rsid w:val="00094ED3"/>
    <w:rsid w:val="00097EC9"/>
    <w:rsid w:val="000A0215"/>
    <w:rsid w:val="000A1279"/>
    <w:rsid w:val="000A29DA"/>
    <w:rsid w:val="000A34A2"/>
    <w:rsid w:val="000A3857"/>
    <w:rsid w:val="000A42C8"/>
    <w:rsid w:val="000A573C"/>
    <w:rsid w:val="000A6989"/>
    <w:rsid w:val="000B200C"/>
    <w:rsid w:val="000B409D"/>
    <w:rsid w:val="000B4DD7"/>
    <w:rsid w:val="000B4E4F"/>
    <w:rsid w:val="000B4EF1"/>
    <w:rsid w:val="000C19B4"/>
    <w:rsid w:val="000C3386"/>
    <w:rsid w:val="000C362B"/>
    <w:rsid w:val="000C377C"/>
    <w:rsid w:val="000C5339"/>
    <w:rsid w:val="000D1FB9"/>
    <w:rsid w:val="000D7088"/>
    <w:rsid w:val="000D759E"/>
    <w:rsid w:val="000E1AB3"/>
    <w:rsid w:val="000E342C"/>
    <w:rsid w:val="000E45E6"/>
    <w:rsid w:val="0010114F"/>
    <w:rsid w:val="001019F6"/>
    <w:rsid w:val="00103144"/>
    <w:rsid w:val="00105E8F"/>
    <w:rsid w:val="0010687A"/>
    <w:rsid w:val="00112F90"/>
    <w:rsid w:val="0011434E"/>
    <w:rsid w:val="00124265"/>
    <w:rsid w:val="00124A9A"/>
    <w:rsid w:val="00126E0F"/>
    <w:rsid w:val="0013044A"/>
    <w:rsid w:val="0013069E"/>
    <w:rsid w:val="00131AD7"/>
    <w:rsid w:val="0013403B"/>
    <w:rsid w:val="00134809"/>
    <w:rsid w:val="001416CC"/>
    <w:rsid w:val="00142AF8"/>
    <w:rsid w:val="00153EED"/>
    <w:rsid w:val="00155FDD"/>
    <w:rsid w:val="00157225"/>
    <w:rsid w:val="00162D71"/>
    <w:rsid w:val="00162E8E"/>
    <w:rsid w:val="0016451D"/>
    <w:rsid w:val="00164B5C"/>
    <w:rsid w:val="00164C34"/>
    <w:rsid w:val="00165C51"/>
    <w:rsid w:val="001663D4"/>
    <w:rsid w:val="0016778F"/>
    <w:rsid w:val="00172619"/>
    <w:rsid w:val="00173A0D"/>
    <w:rsid w:val="00175EF9"/>
    <w:rsid w:val="00176BAB"/>
    <w:rsid w:val="00176BE5"/>
    <w:rsid w:val="00182E20"/>
    <w:rsid w:val="00182F64"/>
    <w:rsid w:val="00183B12"/>
    <w:rsid w:val="00184EDB"/>
    <w:rsid w:val="001904AE"/>
    <w:rsid w:val="00191527"/>
    <w:rsid w:val="001919F1"/>
    <w:rsid w:val="00191BE4"/>
    <w:rsid w:val="0019570E"/>
    <w:rsid w:val="0019641B"/>
    <w:rsid w:val="001A23E2"/>
    <w:rsid w:val="001A50B0"/>
    <w:rsid w:val="001A798F"/>
    <w:rsid w:val="001B7A70"/>
    <w:rsid w:val="001C15E1"/>
    <w:rsid w:val="001C19CD"/>
    <w:rsid w:val="001D6CE4"/>
    <w:rsid w:val="001E3013"/>
    <w:rsid w:val="001E40EF"/>
    <w:rsid w:val="001E4699"/>
    <w:rsid w:val="001F1E2E"/>
    <w:rsid w:val="001F2563"/>
    <w:rsid w:val="001F4258"/>
    <w:rsid w:val="00202381"/>
    <w:rsid w:val="0020245A"/>
    <w:rsid w:val="00203608"/>
    <w:rsid w:val="0020454B"/>
    <w:rsid w:val="00204FE8"/>
    <w:rsid w:val="00207816"/>
    <w:rsid w:val="002114AD"/>
    <w:rsid w:val="0021296D"/>
    <w:rsid w:val="00213371"/>
    <w:rsid w:val="002143D9"/>
    <w:rsid w:val="002151F6"/>
    <w:rsid w:val="00220E84"/>
    <w:rsid w:val="00221D4C"/>
    <w:rsid w:val="00224DA0"/>
    <w:rsid w:val="00225ECD"/>
    <w:rsid w:val="0022736F"/>
    <w:rsid w:val="0022784C"/>
    <w:rsid w:val="00232847"/>
    <w:rsid w:val="00233935"/>
    <w:rsid w:val="002344A6"/>
    <w:rsid w:val="002357B0"/>
    <w:rsid w:val="002379A1"/>
    <w:rsid w:val="002407FA"/>
    <w:rsid w:val="00247FBC"/>
    <w:rsid w:val="0025597F"/>
    <w:rsid w:val="0026354D"/>
    <w:rsid w:val="00265002"/>
    <w:rsid w:val="00267F25"/>
    <w:rsid w:val="00273820"/>
    <w:rsid w:val="00276008"/>
    <w:rsid w:val="0027720C"/>
    <w:rsid w:val="00285468"/>
    <w:rsid w:val="00290D64"/>
    <w:rsid w:val="00291525"/>
    <w:rsid w:val="00292AE6"/>
    <w:rsid w:val="0029474E"/>
    <w:rsid w:val="00296950"/>
    <w:rsid w:val="00297565"/>
    <w:rsid w:val="002A11CB"/>
    <w:rsid w:val="002A193A"/>
    <w:rsid w:val="002A25C8"/>
    <w:rsid w:val="002A4D74"/>
    <w:rsid w:val="002A796F"/>
    <w:rsid w:val="002A7974"/>
    <w:rsid w:val="002B04C5"/>
    <w:rsid w:val="002B1C70"/>
    <w:rsid w:val="002B2A44"/>
    <w:rsid w:val="002B3173"/>
    <w:rsid w:val="002B3BAD"/>
    <w:rsid w:val="002B7DCC"/>
    <w:rsid w:val="002C7D8B"/>
    <w:rsid w:val="002D5004"/>
    <w:rsid w:val="002D6EAE"/>
    <w:rsid w:val="002D7C93"/>
    <w:rsid w:val="002E35D5"/>
    <w:rsid w:val="002E38A9"/>
    <w:rsid w:val="002E55BC"/>
    <w:rsid w:val="002E5D92"/>
    <w:rsid w:val="002E5DCF"/>
    <w:rsid w:val="002F45C4"/>
    <w:rsid w:val="002F6FBE"/>
    <w:rsid w:val="002F7B24"/>
    <w:rsid w:val="002F7D84"/>
    <w:rsid w:val="003004E2"/>
    <w:rsid w:val="00304D83"/>
    <w:rsid w:val="003052C7"/>
    <w:rsid w:val="00307902"/>
    <w:rsid w:val="00310583"/>
    <w:rsid w:val="003113AA"/>
    <w:rsid w:val="003115FD"/>
    <w:rsid w:val="003125F5"/>
    <w:rsid w:val="00314105"/>
    <w:rsid w:val="00314361"/>
    <w:rsid w:val="00314582"/>
    <w:rsid w:val="003147BD"/>
    <w:rsid w:val="00315DB0"/>
    <w:rsid w:val="00317F6E"/>
    <w:rsid w:val="00320216"/>
    <w:rsid w:val="00320FC1"/>
    <w:rsid w:val="00320FF5"/>
    <w:rsid w:val="00322BEB"/>
    <w:rsid w:val="00326171"/>
    <w:rsid w:val="00333C9C"/>
    <w:rsid w:val="00333FC8"/>
    <w:rsid w:val="00340489"/>
    <w:rsid w:val="00350911"/>
    <w:rsid w:val="00350DEE"/>
    <w:rsid w:val="00351FFC"/>
    <w:rsid w:val="00352B33"/>
    <w:rsid w:val="00353BEC"/>
    <w:rsid w:val="00353CA5"/>
    <w:rsid w:val="0035544D"/>
    <w:rsid w:val="00362A6F"/>
    <w:rsid w:val="00362B04"/>
    <w:rsid w:val="00364C92"/>
    <w:rsid w:val="00364FF7"/>
    <w:rsid w:val="00367B9D"/>
    <w:rsid w:val="00373928"/>
    <w:rsid w:val="00374012"/>
    <w:rsid w:val="0038170F"/>
    <w:rsid w:val="003869F9"/>
    <w:rsid w:val="0039086C"/>
    <w:rsid w:val="00391881"/>
    <w:rsid w:val="00391B7E"/>
    <w:rsid w:val="00391CBC"/>
    <w:rsid w:val="00392543"/>
    <w:rsid w:val="00396A84"/>
    <w:rsid w:val="00396EB8"/>
    <w:rsid w:val="003A201C"/>
    <w:rsid w:val="003A251B"/>
    <w:rsid w:val="003A3247"/>
    <w:rsid w:val="003A40D1"/>
    <w:rsid w:val="003A4DC6"/>
    <w:rsid w:val="003A5300"/>
    <w:rsid w:val="003A5912"/>
    <w:rsid w:val="003A6057"/>
    <w:rsid w:val="003B0AA1"/>
    <w:rsid w:val="003B3FD6"/>
    <w:rsid w:val="003B52CF"/>
    <w:rsid w:val="003C2AD4"/>
    <w:rsid w:val="003C33B0"/>
    <w:rsid w:val="003C4B36"/>
    <w:rsid w:val="003C5767"/>
    <w:rsid w:val="003D15A1"/>
    <w:rsid w:val="003D4CF0"/>
    <w:rsid w:val="003D62A6"/>
    <w:rsid w:val="003E3451"/>
    <w:rsid w:val="003F0E63"/>
    <w:rsid w:val="003F4911"/>
    <w:rsid w:val="003F63EF"/>
    <w:rsid w:val="00400644"/>
    <w:rsid w:val="00401ED5"/>
    <w:rsid w:val="00402C2F"/>
    <w:rsid w:val="004053C4"/>
    <w:rsid w:val="004059A1"/>
    <w:rsid w:val="00405CE1"/>
    <w:rsid w:val="00411648"/>
    <w:rsid w:val="00411E75"/>
    <w:rsid w:val="004141BB"/>
    <w:rsid w:val="004159D6"/>
    <w:rsid w:val="00416215"/>
    <w:rsid w:val="0042085B"/>
    <w:rsid w:val="00421DD4"/>
    <w:rsid w:val="00423008"/>
    <w:rsid w:val="00423C12"/>
    <w:rsid w:val="00423FC4"/>
    <w:rsid w:val="00436729"/>
    <w:rsid w:val="00440630"/>
    <w:rsid w:val="00440981"/>
    <w:rsid w:val="004435BB"/>
    <w:rsid w:val="00445FD5"/>
    <w:rsid w:val="004514F4"/>
    <w:rsid w:val="0045537F"/>
    <w:rsid w:val="004612C0"/>
    <w:rsid w:val="00462FF5"/>
    <w:rsid w:val="004662B6"/>
    <w:rsid w:val="004754A4"/>
    <w:rsid w:val="004826C2"/>
    <w:rsid w:val="00484A4F"/>
    <w:rsid w:val="00486D57"/>
    <w:rsid w:val="00487DBD"/>
    <w:rsid w:val="00491D7C"/>
    <w:rsid w:val="0049225B"/>
    <w:rsid w:val="00495F34"/>
    <w:rsid w:val="00496C72"/>
    <w:rsid w:val="004A2325"/>
    <w:rsid w:val="004A5E5D"/>
    <w:rsid w:val="004B07E1"/>
    <w:rsid w:val="004B12AD"/>
    <w:rsid w:val="004B1AE8"/>
    <w:rsid w:val="004B7672"/>
    <w:rsid w:val="004C04A6"/>
    <w:rsid w:val="004C0B2C"/>
    <w:rsid w:val="004C1956"/>
    <w:rsid w:val="004C1D6E"/>
    <w:rsid w:val="004C30F5"/>
    <w:rsid w:val="004C4985"/>
    <w:rsid w:val="004C4AAD"/>
    <w:rsid w:val="004D1805"/>
    <w:rsid w:val="004D2087"/>
    <w:rsid w:val="004D268B"/>
    <w:rsid w:val="004D3739"/>
    <w:rsid w:val="004D4572"/>
    <w:rsid w:val="004E2ABD"/>
    <w:rsid w:val="004E3E66"/>
    <w:rsid w:val="004E4356"/>
    <w:rsid w:val="004E4FDF"/>
    <w:rsid w:val="004E795C"/>
    <w:rsid w:val="004F672C"/>
    <w:rsid w:val="005057FC"/>
    <w:rsid w:val="00505D8B"/>
    <w:rsid w:val="00507432"/>
    <w:rsid w:val="005165E9"/>
    <w:rsid w:val="005240CB"/>
    <w:rsid w:val="00524AB6"/>
    <w:rsid w:val="00530B31"/>
    <w:rsid w:val="005347B6"/>
    <w:rsid w:val="00540284"/>
    <w:rsid w:val="0054077B"/>
    <w:rsid w:val="00540CAA"/>
    <w:rsid w:val="005413B3"/>
    <w:rsid w:val="00543084"/>
    <w:rsid w:val="0054484B"/>
    <w:rsid w:val="00545D18"/>
    <w:rsid w:val="005474B2"/>
    <w:rsid w:val="00550ABF"/>
    <w:rsid w:val="00551C67"/>
    <w:rsid w:val="00555B28"/>
    <w:rsid w:val="0055796D"/>
    <w:rsid w:val="00557BD9"/>
    <w:rsid w:val="00563773"/>
    <w:rsid w:val="00563FEC"/>
    <w:rsid w:val="005701A9"/>
    <w:rsid w:val="00570A3E"/>
    <w:rsid w:val="00570FEC"/>
    <w:rsid w:val="0057301A"/>
    <w:rsid w:val="005776E5"/>
    <w:rsid w:val="00583F0F"/>
    <w:rsid w:val="00585B4E"/>
    <w:rsid w:val="005900EF"/>
    <w:rsid w:val="00590891"/>
    <w:rsid w:val="00593F13"/>
    <w:rsid w:val="00594C88"/>
    <w:rsid w:val="0059697C"/>
    <w:rsid w:val="005B6E01"/>
    <w:rsid w:val="005C0917"/>
    <w:rsid w:val="005C38DA"/>
    <w:rsid w:val="005C75D3"/>
    <w:rsid w:val="005D1CCC"/>
    <w:rsid w:val="005D6B30"/>
    <w:rsid w:val="005E53CE"/>
    <w:rsid w:val="005F1164"/>
    <w:rsid w:val="005F1922"/>
    <w:rsid w:val="005F2BB4"/>
    <w:rsid w:val="005F444D"/>
    <w:rsid w:val="005F72E7"/>
    <w:rsid w:val="006008F8"/>
    <w:rsid w:val="00601180"/>
    <w:rsid w:val="00601600"/>
    <w:rsid w:val="0060196E"/>
    <w:rsid w:val="00603E8C"/>
    <w:rsid w:val="006058E4"/>
    <w:rsid w:val="00607F56"/>
    <w:rsid w:val="0061159F"/>
    <w:rsid w:val="006206AE"/>
    <w:rsid w:val="0062275D"/>
    <w:rsid w:val="0062731B"/>
    <w:rsid w:val="00630B1A"/>
    <w:rsid w:val="00632F32"/>
    <w:rsid w:val="00633634"/>
    <w:rsid w:val="00634760"/>
    <w:rsid w:val="00635FD7"/>
    <w:rsid w:val="00641FFE"/>
    <w:rsid w:val="00644482"/>
    <w:rsid w:val="006472C3"/>
    <w:rsid w:val="00651C78"/>
    <w:rsid w:val="006522FC"/>
    <w:rsid w:val="006525E3"/>
    <w:rsid w:val="0065286A"/>
    <w:rsid w:val="006536C8"/>
    <w:rsid w:val="006555F0"/>
    <w:rsid w:val="00661450"/>
    <w:rsid w:val="00662912"/>
    <w:rsid w:val="00663FDC"/>
    <w:rsid w:val="006653A4"/>
    <w:rsid w:val="006670CC"/>
    <w:rsid w:val="006676C9"/>
    <w:rsid w:val="0067212E"/>
    <w:rsid w:val="006740A5"/>
    <w:rsid w:val="00674811"/>
    <w:rsid w:val="00675015"/>
    <w:rsid w:val="00683BCE"/>
    <w:rsid w:val="00690695"/>
    <w:rsid w:val="0069162F"/>
    <w:rsid w:val="00693864"/>
    <w:rsid w:val="00694FA3"/>
    <w:rsid w:val="00696656"/>
    <w:rsid w:val="006A10F4"/>
    <w:rsid w:val="006A2DF0"/>
    <w:rsid w:val="006A3018"/>
    <w:rsid w:val="006A371A"/>
    <w:rsid w:val="006B3E69"/>
    <w:rsid w:val="006B6E95"/>
    <w:rsid w:val="006C09E5"/>
    <w:rsid w:val="006C6FA5"/>
    <w:rsid w:val="006C7784"/>
    <w:rsid w:val="006D035D"/>
    <w:rsid w:val="006D106C"/>
    <w:rsid w:val="006D18F6"/>
    <w:rsid w:val="006D62BD"/>
    <w:rsid w:val="006D65F1"/>
    <w:rsid w:val="006D6DCA"/>
    <w:rsid w:val="006E2777"/>
    <w:rsid w:val="006E30C4"/>
    <w:rsid w:val="006E65FC"/>
    <w:rsid w:val="006E677A"/>
    <w:rsid w:val="006E7010"/>
    <w:rsid w:val="006F2B63"/>
    <w:rsid w:val="006F4EED"/>
    <w:rsid w:val="006F5037"/>
    <w:rsid w:val="00701887"/>
    <w:rsid w:val="00701A5B"/>
    <w:rsid w:val="00704150"/>
    <w:rsid w:val="007064F4"/>
    <w:rsid w:val="00715110"/>
    <w:rsid w:val="00720252"/>
    <w:rsid w:val="0072224C"/>
    <w:rsid w:val="00724247"/>
    <w:rsid w:val="00730B45"/>
    <w:rsid w:val="0073616A"/>
    <w:rsid w:val="00736885"/>
    <w:rsid w:val="007379A5"/>
    <w:rsid w:val="00741A92"/>
    <w:rsid w:val="0074396C"/>
    <w:rsid w:val="00746CD3"/>
    <w:rsid w:val="00747DF5"/>
    <w:rsid w:val="00750802"/>
    <w:rsid w:val="00751828"/>
    <w:rsid w:val="0075687D"/>
    <w:rsid w:val="00757277"/>
    <w:rsid w:val="00760430"/>
    <w:rsid w:val="0076060F"/>
    <w:rsid w:val="0076212E"/>
    <w:rsid w:val="00762636"/>
    <w:rsid w:val="00766037"/>
    <w:rsid w:val="00770F6C"/>
    <w:rsid w:val="00777A52"/>
    <w:rsid w:val="00783DE3"/>
    <w:rsid w:val="0079383F"/>
    <w:rsid w:val="007A7A27"/>
    <w:rsid w:val="007C1BFF"/>
    <w:rsid w:val="007C2032"/>
    <w:rsid w:val="007C2B72"/>
    <w:rsid w:val="007D2A63"/>
    <w:rsid w:val="007D62B6"/>
    <w:rsid w:val="007D68E1"/>
    <w:rsid w:val="007E1DFC"/>
    <w:rsid w:val="007E31F1"/>
    <w:rsid w:val="007E5C60"/>
    <w:rsid w:val="007E704E"/>
    <w:rsid w:val="007F47BC"/>
    <w:rsid w:val="00801170"/>
    <w:rsid w:val="00802275"/>
    <w:rsid w:val="00805178"/>
    <w:rsid w:val="00805F81"/>
    <w:rsid w:val="00807515"/>
    <w:rsid w:val="00810B8F"/>
    <w:rsid w:val="00810D38"/>
    <w:rsid w:val="008116A1"/>
    <w:rsid w:val="008116BE"/>
    <w:rsid w:val="00820579"/>
    <w:rsid w:val="00825878"/>
    <w:rsid w:val="00825C75"/>
    <w:rsid w:val="00826A61"/>
    <w:rsid w:val="00827C59"/>
    <w:rsid w:val="00830BCB"/>
    <w:rsid w:val="00830E03"/>
    <w:rsid w:val="0083446A"/>
    <w:rsid w:val="008349BF"/>
    <w:rsid w:val="00835446"/>
    <w:rsid w:val="00836019"/>
    <w:rsid w:val="00840213"/>
    <w:rsid w:val="00844E1E"/>
    <w:rsid w:val="00845DF9"/>
    <w:rsid w:val="0084674C"/>
    <w:rsid w:val="0085034F"/>
    <w:rsid w:val="008513C0"/>
    <w:rsid w:val="00851F46"/>
    <w:rsid w:val="0085319E"/>
    <w:rsid w:val="0085474F"/>
    <w:rsid w:val="00856157"/>
    <w:rsid w:val="00861C77"/>
    <w:rsid w:val="0086351F"/>
    <w:rsid w:val="008647A0"/>
    <w:rsid w:val="0087020F"/>
    <w:rsid w:val="0087034B"/>
    <w:rsid w:val="0087157E"/>
    <w:rsid w:val="0087388A"/>
    <w:rsid w:val="00874DE5"/>
    <w:rsid w:val="00877253"/>
    <w:rsid w:val="00890D0E"/>
    <w:rsid w:val="00891F50"/>
    <w:rsid w:val="00892202"/>
    <w:rsid w:val="00892489"/>
    <w:rsid w:val="008939E8"/>
    <w:rsid w:val="008947ED"/>
    <w:rsid w:val="00896A1F"/>
    <w:rsid w:val="008A0D73"/>
    <w:rsid w:val="008A2CF0"/>
    <w:rsid w:val="008B2916"/>
    <w:rsid w:val="008B420A"/>
    <w:rsid w:val="008B514E"/>
    <w:rsid w:val="008C35C4"/>
    <w:rsid w:val="008C75F1"/>
    <w:rsid w:val="008D2717"/>
    <w:rsid w:val="008D415C"/>
    <w:rsid w:val="008D686D"/>
    <w:rsid w:val="008D6EB3"/>
    <w:rsid w:val="008E2B3A"/>
    <w:rsid w:val="008E6369"/>
    <w:rsid w:val="008F05E5"/>
    <w:rsid w:val="008F42B2"/>
    <w:rsid w:val="008F4320"/>
    <w:rsid w:val="008F4E46"/>
    <w:rsid w:val="008F740A"/>
    <w:rsid w:val="008F791F"/>
    <w:rsid w:val="009014A3"/>
    <w:rsid w:val="00903311"/>
    <w:rsid w:val="0090561A"/>
    <w:rsid w:val="00907877"/>
    <w:rsid w:val="00907DCB"/>
    <w:rsid w:val="0091048C"/>
    <w:rsid w:val="00910837"/>
    <w:rsid w:val="009120D2"/>
    <w:rsid w:val="00915A6F"/>
    <w:rsid w:val="00915C17"/>
    <w:rsid w:val="0092264A"/>
    <w:rsid w:val="00923CBA"/>
    <w:rsid w:val="00925AD2"/>
    <w:rsid w:val="0092672D"/>
    <w:rsid w:val="00927CF6"/>
    <w:rsid w:val="009305AF"/>
    <w:rsid w:val="00931BA1"/>
    <w:rsid w:val="009332A6"/>
    <w:rsid w:val="0094315E"/>
    <w:rsid w:val="00947BA6"/>
    <w:rsid w:val="00950CE8"/>
    <w:rsid w:val="00963DDD"/>
    <w:rsid w:val="00965D39"/>
    <w:rsid w:val="009664D1"/>
    <w:rsid w:val="00966F47"/>
    <w:rsid w:val="0097026F"/>
    <w:rsid w:val="0097087C"/>
    <w:rsid w:val="0097248D"/>
    <w:rsid w:val="009732EB"/>
    <w:rsid w:val="00975471"/>
    <w:rsid w:val="00975758"/>
    <w:rsid w:val="00975A4A"/>
    <w:rsid w:val="00975FD8"/>
    <w:rsid w:val="009776B3"/>
    <w:rsid w:val="00977BC8"/>
    <w:rsid w:val="00977C0F"/>
    <w:rsid w:val="00982CF3"/>
    <w:rsid w:val="0098445B"/>
    <w:rsid w:val="00984775"/>
    <w:rsid w:val="009859FD"/>
    <w:rsid w:val="009869C7"/>
    <w:rsid w:val="009873E3"/>
    <w:rsid w:val="00992AEA"/>
    <w:rsid w:val="009A63A9"/>
    <w:rsid w:val="009A6E5D"/>
    <w:rsid w:val="009A7B9E"/>
    <w:rsid w:val="009B29B1"/>
    <w:rsid w:val="009B3E06"/>
    <w:rsid w:val="009B6783"/>
    <w:rsid w:val="009C34EF"/>
    <w:rsid w:val="009C3F73"/>
    <w:rsid w:val="009C432E"/>
    <w:rsid w:val="009C7616"/>
    <w:rsid w:val="009D05A9"/>
    <w:rsid w:val="009D583B"/>
    <w:rsid w:val="009D6C1F"/>
    <w:rsid w:val="009D6F8C"/>
    <w:rsid w:val="009D75DA"/>
    <w:rsid w:val="009E51ED"/>
    <w:rsid w:val="009F048E"/>
    <w:rsid w:val="009F0B9D"/>
    <w:rsid w:val="009F5FCD"/>
    <w:rsid w:val="009F6551"/>
    <w:rsid w:val="009F749F"/>
    <w:rsid w:val="009F7F43"/>
    <w:rsid w:val="00A0049D"/>
    <w:rsid w:val="00A006D2"/>
    <w:rsid w:val="00A01AAD"/>
    <w:rsid w:val="00A04681"/>
    <w:rsid w:val="00A0668F"/>
    <w:rsid w:val="00A135EA"/>
    <w:rsid w:val="00A1487A"/>
    <w:rsid w:val="00A154F7"/>
    <w:rsid w:val="00A16127"/>
    <w:rsid w:val="00A20104"/>
    <w:rsid w:val="00A2013B"/>
    <w:rsid w:val="00A20B96"/>
    <w:rsid w:val="00A24693"/>
    <w:rsid w:val="00A26AAF"/>
    <w:rsid w:val="00A26D40"/>
    <w:rsid w:val="00A30CE2"/>
    <w:rsid w:val="00A405D7"/>
    <w:rsid w:val="00A41B25"/>
    <w:rsid w:val="00A42B1C"/>
    <w:rsid w:val="00A434F8"/>
    <w:rsid w:val="00A456BB"/>
    <w:rsid w:val="00A475FE"/>
    <w:rsid w:val="00A502C1"/>
    <w:rsid w:val="00A509D4"/>
    <w:rsid w:val="00A51D6F"/>
    <w:rsid w:val="00A57167"/>
    <w:rsid w:val="00A61E53"/>
    <w:rsid w:val="00A63A1E"/>
    <w:rsid w:val="00A66B63"/>
    <w:rsid w:val="00A71BB6"/>
    <w:rsid w:val="00A71F42"/>
    <w:rsid w:val="00A72049"/>
    <w:rsid w:val="00A72879"/>
    <w:rsid w:val="00A72DF1"/>
    <w:rsid w:val="00A777DA"/>
    <w:rsid w:val="00A82BF9"/>
    <w:rsid w:val="00A82F80"/>
    <w:rsid w:val="00A83152"/>
    <w:rsid w:val="00A84D57"/>
    <w:rsid w:val="00A860FE"/>
    <w:rsid w:val="00A93C9A"/>
    <w:rsid w:val="00AA054F"/>
    <w:rsid w:val="00AA1AB4"/>
    <w:rsid w:val="00AA30C4"/>
    <w:rsid w:val="00AA3D05"/>
    <w:rsid w:val="00AA4195"/>
    <w:rsid w:val="00AB1EB1"/>
    <w:rsid w:val="00AB2E20"/>
    <w:rsid w:val="00AB7CF0"/>
    <w:rsid w:val="00AC2167"/>
    <w:rsid w:val="00AC2E84"/>
    <w:rsid w:val="00AC400D"/>
    <w:rsid w:val="00AC61DB"/>
    <w:rsid w:val="00AD3F07"/>
    <w:rsid w:val="00AD3FCF"/>
    <w:rsid w:val="00AD546D"/>
    <w:rsid w:val="00AD5D28"/>
    <w:rsid w:val="00AD6304"/>
    <w:rsid w:val="00AD693A"/>
    <w:rsid w:val="00AE2063"/>
    <w:rsid w:val="00AE5D08"/>
    <w:rsid w:val="00AF0FE6"/>
    <w:rsid w:val="00AF1F18"/>
    <w:rsid w:val="00B052DB"/>
    <w:rsid w:val="00B058B5"/>
    <w:rsid w:val="00B05F85"/>
    <w:rsid w:val="00B075AE"/>
    <w:rsid w:val="00B1480D"/>
    <w:rsid w:val="00B15EB7"/>
    <w:rsid w:val="00B16859"/>
    <w:rsid w:val="00B204CE"/>
    <w:rsid w:val="00B212AA"/>
    <w:rsid w:val="00B244E7"/>
    <w:rsid w:val="00B24FCB"/>
    <w:rsid w:val="00B256BA"/>
    <w:rsid w:val="00B268DE"/>
    <w:rsid w:val="00B26BED"/>
    <w:rsid w:val="00B366FC"/>
    <w:rsid w:val="00B408D2"/>
    <w:rsid w:val="00B4352A"/>
    <w:rsid w:val="00B446FA"/>
    <w:rsid w:val="00B44A51"/>
    <w:rsid w:val="00B453B5"/>
    <w:rsid w:val="00B5019C"/>
    <w:rsid w:val="00B558B0"/>
    <w:rsid w:val="00B55AB2"/>
    <w:rsid w:val="00B573A3"/>
    <w:rsid w:val="00B61814"/>
    <w:rsid w:val="00B63403"/>
    <w:rsid w:val="00B66A62"/>
    <w:rsid w:val="00B7212F"/>
    <w:rsid w:val="00B72DA9"/>
    <w:rsid w:val="00B74ED8"/>
    <w:rsid w:val="00B75F33"/>
    <w:rsid w:val="00B801B1"/>
    <w:rsid w:val="00B80783"/>
    <w:rsid w:val="00B8268F"/>
    <w:rsid w:val="00B83010"/>
    <w:rsid w:val="00B8493F"/>
    <w:rsid w:val="00B85046"/>
    <w:rsid w:val="00B87025"/>
    <w:rsid w:val="00B920DF"/>
    <w:rsid w:val="00B93FA7"/>
    <w:rsid w:val="00B950C4"/>
    <w:rsid w:val="00B96390"/>
    <w:rsid w:val="00BA2AED"/>
    <w:rsid w:val="00BA339B"/>
    <w:rsid w:val="00BA3D14"/>
    <w:rsid w:val="00BA5A0B"/>
    <w:rsid w:val="00BA7254"/>
    <w:rsid w:val="00BB48F9"/>
    <w:rsid w:val="00BB773E"/>
    <w:rsid w:val="00BC43AC"/>
    <w:rsid w:val="00BC7208"/>
    <w:rsid w:val="00BC7950"/>
    <w:rsid w:val="00BD0793"/>
    <w:rsid w:val="00BD614A"/>
    <w:rsid w:val="00BD6CE5"/>
    <w:rsid w:val="00BE106A"/>
    <w:rsid w:val="00BF4CA1"/>
    <w:rsid w:val="00C03CB8"/>
    <w:rsid w:val="00C04412"/>
    <w:rsid w:val="00C04C99"/>
    <w:rsid w:val="00C0751F"/>
    <w:rsid w:val="00C1008B"/>
    <w:rsid w:val="00C101AC"/>
    <w:rsid w:val="00C1158A"/>
    <w:rsid w:val="00C1396F"/>
    <w:rsid w:val="00C15948"/>
    <w:rsid w:val="00C16BD0"/>
    <w:rsid w:val="00C173A5"/>
    <w:rsid w:val="00C17C0A"/>
    <w:rsid w:val="00C17C6E"/>
    <w:rsid w:val="00C202AC"/>
    <w:rsid w:val="00C2040D"/>
    <w:rsid w:val="00C21840"/>
    <w:rsid w:val="00C23508"/>
    <w:rsid w:val="00C24F2A"/>
    <w:rsid w:val="00C265E4"/>
    <w:rsid w:val="00C3292F"/>
    <w:rsid w:val="00C435FE"/>
    <w:rsid w:val="00C46DA2"/>
    <w:rsid w:val="00C50F1D"/>
    <w:rsid w:val="00C51A95"/>
    <w:rsid w:val="00C5285D"/>
    <w:rsid w:val="00C53E9A"/>
    <w:rsid w:val="00C54440"/>
    <w:rsid w:val="00C55AFA"/>
    <w:rsid w:val="00C55E3B"/>
    <w:rsid w:val="00C616EB"/>
    <w:rsid w:val="00C61EF9"/>
    <w:rsid w:val="00C64D7A"/>
    <w:rsid w:val="00C64E12"/>
    <w:rsid w:val="00C763B8"/>
    <w:rsid w:val="00C83B26"/>
    <w:rsid w:val="00C85B2C"/>
    <w:rsid w:val="00C85BA0"/>
    <w:rsid w:val="00C86184"/>
    <w:rsid w:val="00C86618"/>
    <w:rsid w:val="00C906BC"/>
    <w:rsid w:val="00C918E2"/>
    <w:rsid w:val="00C969CD"/>
    <w:rsid w:val="00CA169D"/>
    <w:rsid w:val="00CA3F33"/>
    <w:rsid w:val="00CA5726"/>
    <w:rsid w:val="00CA5783"/>
    <w:rsid w:val="00CA7CB4"/>
    <w:rsid w:val="00CB2FB2"/>
    <w:rsid w:val="00CB67CE"/>
    <w:rsid w:val="00CB68EE"/>
    <w:rsid w:val="00CB6DA1"/>
    <w:rsid w:val="00CB7840"/>
    <w:rsid w:val="00CC0C4D"/>
    <w:rsid w:val="00CD1A3C"/>
    <w:rsid w:val="00CE067D"/>
    <w:rsid w:val="00CE151D"/>
    <w:rsid w:val="00CE4842"/>
    <w:rsid w:val="00CE6FE5"/>
    <w:rsid w:val="00CF23AB"/>
    <w:rsid w:val="00CF23DD"/>
    <w:rsid w:val="00CF43C5"/>
    <w:rsid w:val="00D001B3"/>
    <w:rsid w:val="00D07B47"/>
    <w:rsid w:val="00D10269"/>
    <w:rsid w:val="00D10E13"/>
    <w:rsid w:val="00D11550"/>
    <w:rsid w:val="00D11AB2"/>
    <w:rsid w:val="00D14553"/>
    <w:rsid w:val="00D14A51"/>
    <w:rsid w:val="00D21413"/>
    <w:rsid w:val="00D24116"/>
    <w:rsid w:val="00D24517"/>
    <w:rsid w:val="00D25B57"/>
    <w:rsid w:val="00D26024"/>
    <w:rsid w:val="00D333C2"/>
    <w:rsid w:val="00D33B95"/>
    <w:rsid w:val="00D33E8F"/>
    <w:rsid w:val="00D42639"/>
    <w:rsid w:val="00D437BA"/>
    <w:rsid w:val="00D44DE9"/>
    <w:rsid w:val="00D46F89"/>
    <w:rsid w:val="00D50638"/>
    <w:rsid w:val="00D519B7"/>
    <w:rsid w:val="00D5468E"/>
    <w:rsid w:val="00D562B8"/>
    <w:rsid w:val="00D60EEE"/>
    <w:rsid w:val="00D621A9"/>
    <w:rsid w:val="00D63501"/>
    <w:rsid w:val="00D646F4"/>
    <w:rsid w:val="00D700A0"/>
    <w:rsid w:val="00D70212"/>
    <w:rsid w:val="00D70ACD"/>
    <w:rsid w:val="00D70C0A"/>
    <w:rsid w:val="00D74FE2"/>
    <w:rsid w:val="00D818D5"/>
    <w:rsid w:val="00D81D0B"/>
    <w:rsid w:val="00D81E2B"/>
    <w:rsid w:val="00D82DFF"/>
    <w:rsid w:val="00D9071E"/>
    <w:rsid w:val="00D9168A"/>
    <w:rsid w:val="00D942E6"/>
    <w:rsid w:val="00D942F7"/>
    <w:rsid w:val="00D972C0"/>
    <w:rsid w:val="00DA12A0"/>
    <w:rsid w:val="00DA2E27"/>
    <w:rsid w:val="00DA3E17"/>
    <w:rsid w:val="00DA49C8"/>
    <w:rsid w:val="00DA7C83"/>
    <w:rsid w:val="00DB0046"/>
    <w:rsid w:val="00DB0EB3"/>
    <w:rsid w:val="00DB2B94"/>
    <w:rsid w:val="00DB2F05"/>
    <w:rsid w:val="00DB6DEA"/>
    <w:rsid w:val="00DC27AC"/>
    <w:rsid w:val="00DC7FD8"/>
    <w:rsid w:val="00DD11A1"/>
    <w:rsid w:val="00DD1BFA"/>
    <w:rsid w:val="00DD3A5B"/>
    <w:rsid w:val="00DD67BC"/>
    <w:rsid w:val="00DD7A79"/>
    <w:rsid w:val="00DE67A4"/>
    <w:rsid w:val="00DF4193"/>
    <w:rsid w:val="00DF4800"/>
    <w:rsid w:val="00DF62CC"/>
    <w:rsid w:val="00DF7688"/>
    <w:rsid w:val="00DF7C0A"/>
    <w:rsid w:val="00E010F3"/>
    <w:rsid w:val="00E052C8"/>
    <w:rsid w:val="00E06155"/>
    <w:rsid w:val="00E12090"/>
    <w:rsid w:val="00E13A68"/>
    <w:rsid w:val="00E219D8"/>
    <w:rsid w:val="00E22DF8"/>
    <w:rsid w:val="00E23BB1"/>
    <w:rsid w:val="00E32838"/>
    <w:rsid w:val="00E32CF3"/>
    <w:rsid w:val="00E4005D"/>
    <w:rsid w:val="00E40B9F"/>
    <w:rsid w:val="00E437B3"/>
    <w:rsid w:val="00E450F5"/>
    <w:rsid w:val="00E503B0"/>
    <w:rsid w:val="00E50AA5"/>
    <w:rsid w:val="00E6095A"/>
    <w:rsid w:val="00E709DE"/>
    <w:rsid w:val="00E71223"/>
    <w:rsid w:val="00E736EC"/>
    <w:rsid w:val="00E746FC"/>
    <w:rsid w:val="00E81530"/>
    <w:rsid w:val="00E81BE8"/>
    <w:rsid w:val="00E85C9B"/>
    <w:rsid w:val="00E878DE"/>
    <w:rsid w:val="00E87966"/>
    <w:rsid w:val="00E879E3"/>
    <w:rsid w:val="00E913AD"/>
    <w:rsid w:val="00EA4AC7"/>
    <w:rsid w:val="00EA5BD5"/>
    <w:rsid w:val="00EA5D99"/>
    <w:rsid w:val="00EA78FF"/>
    <w:rsid w:val="00EA7A1A"/>
    <w:rsid w:val="00EB0A4C"/>
    <w:rsid w:val="00EB0D4E"/>
    <w:rsid w:val="00EB445E"/>
    <w:rsid w:val="00EB6164"/>
    <w:rsid w:val="00EC0729"/>
    <w:rsid w:val="00EC16C6"/>
    <w:rsid w:val="00EC366C"/>
    <w:rsid w:val="00EC4432"/>
    <w:rsid w:val="00EC7189"/>
    <w:rsid w:val="00EC7CC2"/>
    <w:rsid w:val="00ED05AF"/>
    <w:rsid w:val="00ED5619"/>
    <w:rsid w:val="00ED63B9"/>
    <w:rsid w:val="00EF2182"/>
    <w:rsid w:val="00EF37AD"/>
    <w:rsid w:val="00EF59E8"/>
    <w:rsid w:val="00EF68A1"/>
    <w:rsid w:val="00EF68E4"/>
    <w:rsid w:val="00F03934"/>
    <w:rsid w:val="00F03B6B"/>
    <w:rsid w:val="00F04A05"/>
    <w:rsid w:val="00F11726"/>
    <w:rsid w:val="00F12787"/>
    <w:rsid w:val="00F1356F"/>
    <w:rsid w:val="00F1735E"/>
    <w:rsid w:val="00F2036E"/>
    <w:rsid w:val="00F2618A"/>
    <w:rsid w:val="00F2673C"/>
    <w:rsid w:val="00F31C9C"/>
    <w:rsid w:val="00F347E8"/>
    <w:rsid w:val="00F4265D"/>
    <w:rsid w:val="00F42F1F"/>
    <w:rsid w:val="00F453A8"/>
    <w:rsid w:val="00F4591D"/>
    <w:rsid w:val="00F50465"/>
    <w:rsid w:val="00F519D0"/>
    <w:rsid w:val="00F570A5"/>
    <w:rsid w:val="00F61ABE"/>
    <w:rsid w:val="00F63060"/>
    <w:rsid w:val="00F640D2"/>
    <w:rsid w:val="00F66277"/>
    <w:rsid w:val="00F71E7E"/>
    <w:rsid w:val="00F728DC"/>
    <w:rsid w:val="00F82249"/>
    <w:rsid w:val="00F82916"/>
    <w:rsid w:val="00F8313C"/>
    <w:rsid w:val="00F857F0"/>
    <w:rsid w:val="00F8777D"/>
    <w:rsid w:val="00F87A7A"/>
    <w:rsid w:val="00F93332"/>
    <w:rsid w:val="00F944B7"/>
    <w:rsid w:val="00FA353F"/>
    <w:rsid w:val="00FA3CDD"/>
    <w:rsid w:val="00FA494D"/>
    <w:rsid w:val="00FB0A0E"/>
    <w:rsid w:val="00FB4B1C"/>
    <w:rsid w:val="00FB6C1B"/>
    <w:rsid w:val="00FC0293"/>
    <w:rsid w:val="00FD0751"/>
    <w:rsid w:val="00FD20A0"/>
    <w:rsid w:val="00FD2EE9"/>
    <w:rsid w:val="00FD424F"/>
    <w:rsid w:val="00FD493E"/>
    <w:rsid w:val="00FD6501"/>
    <w:rsid w:val="00FE18A5"/>
    <w:rsid w:val="00FE22E4"/>
    <w:rsid w:val="00FE6745"/>
    <w:rsid w:val="00FE7133"/>
    <w:rsid w:val="00FF17B1"/>
    <w:rsid w:val="00FF18EA"/>
    <w:rsid w:val="00FF26C9"/>
    <w:rsid w:val="00FF5226"/>
    <w:rsid w:val="00FF59CA"/>
    <w:rsid w:val="00FF704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stroke="f">
      <v:fill color="white"/>
      <v:stroke on="f"/>
      <v:textbox style="layout-flow:vertical"/>
    </o:shapedefaults>
    <o:shapelayout v:ext="edit">
      <o:idmap v:ext="edit" data="2"/>
    </o:shapelayout>
  </w:shapeDefaults>
  <w:decimalSymbol w:val="."/>
  <w:listSeparator w:val=";"/>
  <w14:docId w14:val="7EE6D0A8"/>
  <w15:docId w15:val="{210A89A2-02BE-483C-819C-29D887FCC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69D"/>
    <w:rPr>
      <w:rFonts w:cs="Traditional Arabic"/>
      <w:noProof/>
    </w:rPr>
  </w:style>
  <w:style w:type="paragraph" w:styleId="Heading1">
    <w:name w:val="heading 1"/>
    <w:basedOn w:val="Normal"/>
    <w:next w:val="Normal"/>
    <w:qFormat/>
    <w:rsid w:val="00CA169D"/>
    <w:pPr>
      <w:keepNext/>
      <w:bidi/>
      <w:jc w:val="both"/>
      <w:outlineLvl w:val="0"/>
    </w:pPr>
    <w:rPr>
      <w:rFonts w:cs="Nazanin"/>
      <w:b/>
      <w:bCs/>
      <w:sz w:val="16"/>
      <w:szCs w:val="16"/>
    </w:rPr>
  </w:style>
  <w:style w:type="paragraph" w:styleId="Heading2">
    <w:name w:val="heading 2"/>
    <w:basedOn w:val="Normal"/>
    <w:next w:val="Normal"/>
    <w:qFormat/>
    <w:rsid w:val="00CA169D"/>
    <w:pPr>
      <w:keepNext/>
      <w:bidi/>
      <w:jc w:val="center"/>
      <w:outlineLvl w:val="1"/>
    </w:pPr>
    <w:rPr>
      <w:rFonts w:cs="Mitra"/>
      <w:b/>
      <w:bCs/>
      <w:sz w:val="24"/>
      <w:szCs w:val="24"/>
    </w:rPr>
  </w:style>
  <w:style w:type="paragraph" w:styleId="Heading3">
    <w:name w:val="heading 3"/>
    <w:basedOn w:val="Normal"/>
    <w:next w:val="Normal"/>
    <w:qFormat/>
    <w:rsid w:val="00CA169D"/>
    <w:pPr>
      <w:keepNext/>
      <w:bidi/>
      <w:jc w:val="both"/>
      <w:outlineLvl w:val="2"/>
    </w:pPr>
    <w:rPr>
      <w:rFonts w:cs="Nazanin"/>
      <w:b/>
      <w:bCs/>
      <w:sz w:val="24"/>
      <w:szCs w:val="24"/>
    </w:rPr>
  </w:style>
  <w:style w:type="paragraph" w:styleId="Heading4">
    <w:name w:val="heading 4"/>
    <w:basedOn w:val="Normal"/>
    <w:next w:val="Normal"/>
    <w:qFormat/>
    <w:rsid w:val="00CA169D"/>
    <w:pPr>
      <w:keepNext/>
      <w:bidi/>
      <w:outlineLvl w:val="3"/>
    </w:pPr>
    <w:rPr>
      <w:rFonts w:cs="Nazanin"/>
      <w:b/>
      <w:bCs/>
      <w:sz w:val="24"/>
      <w:szCs w:val="24"/>
    </w:rPr>
  </w:style>
  <w:style w:type="paragraph" w:styleId="Heading5">
    <w:name w:val="heading 5"/>
    <w:basedOn w:val="Normal"/>
    <w:next w:val="Normal"/>
    <w:qFormat/>
    <w:rsid w:val="0002405D"/>
    <w:pPr>
      <w:spacing w:before="240" w:after="60"/>
      <w:outlineLvl w:val="4"/>
    </w:pPr>
    <w:rPr>
      <w:b/>
      <w:bCs/>
      <w:i/>
      <w:iCs/>
      <w:sz w:val="26"/>
      <w:szCs w:val="26"/>
    </w:rPr>
  </w:style>
  <w:style w:type="paragraph" w:styleId="Heading9">
    <w:name w:val="heading 9"/>
    <w:basedOn w:val="Normal"/>
    <w:next w:val="Normal"/>
    <w:qFormat/>
    <w:rsid w:val="00317F6E"/>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CA169D"/>
    <w:pPr>
      <w:bidi/>
      <w:jc w:val="center"/>
    </w:pPr>
    <w:rPr>
      <w:rFonts w:cs="Mitra"/>
      <w:b/>
      <w:bCs/>
      <w:sz w:val="36"/>
      <w:szCs w:val="36"/>
    </w:rPr>
  </w:style>
  <w:style w:type="paragraph" w:styleId="FootnoteText">
    <w:name w:val="footnote text"/>
    <w:basedOn w:val="Normal"/>
    <w:link w:val="FootnoteTextChar"/>
    <w:semiHidden/>
    <w:rsid w:val="00CA169D"/>
  </w:style>
  <w:style w:type="character" w:styleId="FootnoteReference">
    <w:name w:val="footnote reference"/>
    <w:semiHidden/>
    <w:rsid w:val="00CA169D"/>
    <w:rPr>
      <w:vertAlign w:val="superscript"/>
    </w:rPr>
  </w:style>
  <w:style w:type="character" w:styleId="Hyperlink">
    <w:name w:val="Hyperlink"/>
    <w:rsid w:val="00CA169D"/>
    <w:rPr>
      <w:color w:val="0000FF"/>
      <w:u w:val="single"/>
    </w:rPr>
  </w:style>
  <w:style w:type="paragraph" w:styleId="BodyText">
    <w:name w:val="Body Text"/>
    <w:basedOn w:val="Normal"/>
    <w:rsid w:val="00CA169D"/>
    <w:pPr>
      <w:bidi/>
      <w:jc w:val="both"/>
    </w:pPr>
    <w:rPr>
      <w:rFonts w:cs="Nazanin"/>
      <w:sz w:val="24"/>
      <w:szCs w:val="24"/>
    </w:rPr>
  </w:style>
  <w:style w:type="paragraph" w:styleId="BodyText2">
    <w:name w:val="Body Text 2"/>
    <w:basedOn w:val="Normal"/>
    <w:rsid w:val="00CA169D"/>
    <w:pPr>
      <w:bidi/>
      <w:jc w:val="center"/>
    </w:pPr>
    <w:rPr>
      <w:rFonts w:cs="Nazanin"/>
      <w:b/>
      <w:bCs/>
      <w:sz w:val="14"/>
      <w:szCs w:val="14"/>
    </w:rPr>
  </w:style>
  <w:style w:type="paragraph" w:styleId="BodyTextIndent">
    <w:name w:val="Body Text Indent"/>
    <w:basedOn w:val="Normal"/>
    <w:rsid w:val="00CA169D"/>
    <w:pPr>
      <w:bidi/>
      <w:ind w:firstLine="440"/>
      <w:jc w:val="both"/>
    </w:pPr>
    <w:rPr>
      <w:rFonts w:cs="Nazanin"/>
      <w:sz w:val="24"/>
      <w:szCs w:val="24"/>
    </w:rPr>
  </w:style>
  <w:style w:type="paragraph" w:styleId="Header">
    <w:name w:val="header"/>
    <w:basedOn w:val="Normal"/>
    <w:link w:val="HeaderChar"/>
    <w:uiPriority w:val="99"/>
    <w:rsid w:val="00CA169D"/>
    <w:pPr>
      <w:tabs>
        <w:tab w:val="center" w:pos="4153"/>
        <w:tab w:val="right" w:pos="8306"/>
      </w:tabs>
      <w:bidi/>
    </w:pPr>
    <w:rPr>
      <w:rFonts w:cs="Lotus"/>
      <w:noProof w:val="0"/>
      <w:snapToGrid w:val="0"/>
      <w:sz w:val="18"/>
    </w:rPr>
  </w:style>
  <w:style w:type="paragraph" w:styleId="BodyText3">
    <w:name w:val="Body Text 3"/>
    <w:basedOn w:val="Normal"/>
    <w:rsid w:val="00CA169D"/>
    <w:pPr>
      <w:bidi/>
      <w:jc w:val="both"/>
    </w:pPr>
  </w:style>
  <w:style w:type="paragraph" w:customStyle="1" w:styleId="a">
    <w:name w:val="متن"/>
    <w:basedOn w:val="Normal"/>
    <w:rsid w:val="00317F6E"/>
    <w:pPr>
      <w:widowControl w:val="0"/>
      <w:bidi/>
      <w:ind w:firstLine="284"/>
      <w:jc w:val="lowKashida"/>
    </w:pPr>
    <w:rPr>
      <w:rFonts w:cs="Lotus"/>
      <w:noProof w:val="0"/>
      <w:sz w:val="28"/>
      <w:szCs w:val="28"/>
    </w:rPr>
  </w:style>
  <w:style w:type="paragraph" w:styleId="Footer">
    <w:name w:val="footer"/>
    <w:basedOn w:val="Normal"/>
    <w:link w:val="FooterChar"/>
    <w:uiPriority w:val="99"/>
    <w:rsid w:val="00A26AAF"/>
    <w:pPr>
      <w:tabs>
        <w:tab w:val="center" w:pos="4320"/>
        <w:tab w:val="right" w:pos="8640"/>
      </w:tabs>
    </w:pPr>
  </w:style>
  <w:style w:type="paragraph" w:customStyle="1" w:styleId="Titletext">
    <w:name w:val="Title_text"/>
    <w:basedOn w:val="Normal"/>
    <w:rsid w:val="00540284"/>
    <w:pPr>
      <w:jc w:val="center"/>
    </w:pPr>
    <w:rPr>
      <w:rFonts w:ascii="Arial" w:hAnsi="Arial" w:cs="Times New Roman"/>
      <w:b/>
      <w:noProof w:val="0"/>
      <w:sz w:val="36"/>
      <w:lang w:val="en-GB"/>
    </w:rPr>
  </w:style>
  <w:style w:type="paragraph" w:customStyle="1" w:styleId="author">
    <w:name w:val="author"/>
    <w:basedOn w:val="Normal"/>
    <w:rsid w:val="00540284"/>
    <w:pPr>
      <w:jc w:val="center"/>
    </w:pPr>
    <w:rPr>
      <w:rFonts w:eastAsia="MS Mincho" w:cs="Times New Roman"/>
      <w:b/>
      <w:noProof w:val="0"/>
      <w:sz w:val="28"/>
      <w:szCs w:val="24"/>
    </w:rPr>
  </w:style>
  <w:style w:type="paragraph" w:customStyle="1" w:styleId="address">
    <w:name w:val="address"/>
    <w:basedOn w:val="Normal"/>
    <w:rsid w:val="00540284"/>
    <w:pPr>
      <w:jc w:val="center"/>
    </w:pPr>
    <w:rPr>
      <w:rFonts w:eastAsia="MS Mincho" w:cs="Times New Roman"/>
      <w:b/>
      <w:noProof w:val="0"/>
      <w:szCs w:val="24"/>
    </w:rPr>
  </w:style>
  <w:style w:type="table" w:styleId="TableGrid">
    <w:name w:val="Table Grid"/>
    <w:basedOn w:val="TableNormal"/>
    <w:rsid w:val="00AF0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B453B5"/>
    <w:rPr>
      <w:rFonts w:ascii="Tahoma" w:hAnsi="Tahoma" w:cs="Tahoma"/>
      <w:sz w:val="16"/>
      <w:szCs w:val="16"/>
    </w:rPr>
  </w:style>
  <w:style w:type="paragraph" w:customStyle="1" w:styleId="body2">
    <w:name w:val="body2"/>
    <w:basedOn w:val="BodyText"/>
    <w:rsid w:val="0002405D"/>
    <w:pPr>
      <w:widowControl w:val="0"/>
      <w:spacing w:line="216" w:lineRule="auto"/>
      <w:ind w:firstLine="397"/>
    </w:pPr>
    <w:rPr>
      <w:rFonts w:cs="Zar"/>
      <w:noProof w:val="0"/>
      <w:szCs w:val="28"/>
    </w:rPr>
  </w:style>
  <w:style w:type="paragraph" w:customStyle="1" w:styleId="paragraph">
    <w:name w:val="paragraph"/>
    <w:basedOn w:val="Normal"/>
    <w:link w:val="paragraphChar"/>
    <w:rsid w:val="0002405D"/>
    <w:pPr>
      <w:bidi/>
      <w:spacing w:line="240" w:lineRule="atLeast"/>
      <w:jc w:val="both"/>
    </w:pPr>
    <w:rPr>
      <w:rFonts w:cs="Nazanin"/>
      <w:sz w:val="24"/>
      <w:szCs w:val="24"/>
    </w:rPr>
  </w:style>
  <w:style w:type="paragraph" w:customStyle="1" w:styleId="equation">
    <w:name w:val="equation"/>
    <w:basedOn w:val="BodyText2"/>
    <w:rsid w:val="0002405D"/>
    <w:pPr>
      <w:spacing w:line="520" w:lineRule="atLeast"/>
      <w:jc w:val="both"/>
    </w:pPr>
    <w:rPr>
      <w:b w:val="0"/>
      <w:bCs w:val="0"/>
      <w:color w:val="000000"/>
      <w:sz w:val="24"/>
      <w:szCs w:val="24"/>
    </w:rPr>
  </w:style>
  <w:style w:type="character" w:customStyle="1" w:styleId="paragraphChar">
    <w:name w:val="paragraph Char"/>
    <w:link w:val="paragraph"/>
    <w:rsid w:val="0002405D"/>
    <w:rPr>
      <w:rFonts w:cs="Nazanin"/>
      <w:noProof/>
      <w:sz w:val="24"/>
      <w:szCs w:val="24"/>
      <w:lang w:val="en-US" w:eastAsia="en-US" w:bidi="ar-SA"/>
    </w:rPr>
  </w:style>
  <w:style w:type="paragraph" w:customStyle="1" w:styleId="Equation0">
    <w:name w:val="Equation"/>
    <w:next w:val="FNormal"/>
    <w:rsid w:val="00EF68A1"/>
    <w:pPr>
      <w:spacing w:before="60" w:after="60"/>
      <w:ind w:left="170" w:hanging="170"/>
    </w:pPr>
    <w:rPr>
      <w:rFonts w:cs="Yagut"/>
      <w:szCs w:val="22"/>
    </w:rPr>
  </w:style>
  <w:style w:type="paragraph" w:customStyle="1" w:styleId="FNormal">
    <w:name w:val="FNormal"/>
    <w:basedOn w:val="Normal"/>
    <w:next w:val="Normal"/>
    <w:link w:val="FNormalCharChar"/>
    <w:rsid w:val="00EF68A1"/>
    <w:pPr>
      <w:widowControl w:val="0"/>
      <w:bidi/>
      <w:spacing w:line="228" w:lineRule="auto"/>
      <w:jc w:val="lowKashida"/>
    </w:pPr>
    <w:rPr>
      <w:rFonts w:cs="Yagut"/>
      <w:noProof w:val="0"/>
      <w:szCs w:val="22"/>
      <w:lang w:bidi="fa-IR"/>
    </w:rPr>
  </w:style>
  <w:style w:type="character" w:customStyle="1" w:styleId="FNormalCharChar">
    <w:name w:val="FNormal Char Char"/>
    <w:link w:val="FNormal"/>
    <w:rsid w:val="00EF68A1"/>
    <w:rPr>
      <w:rFonts w:cs="Yagut"/>
      <w:szCs w:val="22"/>
      <w:lang w:val="en-US" w:eastAsia="en-US" w:bidi="fa-IR"/>
    </w:rPr>
  </w:style>
  <w:style w:type="character" w:styleId="PageNumber">
    <w:name w:val="page number"/>
    <w:basedOn w:val="DefaultParagraphFont"/>
    <w:rsid w:val="00224DA0"/>
  </w:style>
  <w:style w:type="paragraph" w:customStyle="1" w:styleId="equationnum">
    <w:name w:val="equationnum"/>
    <w:basedOn w:val="Normal"/>
    <w:next w:val="Normal"/>
    <w:autoRedefine/>
    <w:rsid w:val="003B52CF"/>
    <w:pPr>
      <w:tabs>
        <w:tab w:val="right" w:pos="4253"/>
      </w:tabs>
      <w:overflowPunct w:val="0"/>
      <w:autoSpaceDE w:val="0"/>
      <w:autoSpaceDN w:val="0"/>
      <w:adjustRightInd w:val="0"/>
      <w:textAlignment w:val="baseline"/>
    </w:pPr>
    <w:rPr>
      <w:rFonts w:cs="Times New Roman"/>
      <w:noProof w:val="0"/>
      <w:sz w:val="22"/>
      <w:szCs w:val="22"/>
      <w:lang w:bidi="fa-IR"/>
    </w:rPr>
  </w:style>
  <w:style w:type="paragraph" w:customStyle="1" w:styleId="Refrence">
    <w:name w:val="Refrence"/>
    <w:link w:val="RefrenceChar"/>
    <w:rsid w:val="004612C0"/>
    <w:pPr>
      <w:spacing w:before="120" w:after="120"/>
      <w:jc w:val="both"/>
    </w:pPr>
    <w:rPr>
      <w:rFonts w:cs="Zar"/>
      <w:sz w:val="24"/>
      <w:szCs w:val="28"/>
      <w:lang w:bidi="fa-IR"/>
    </w:rPr>
  </w:style>
  <w:style w:type="character" w:customStyle="1" w:styleId="RefrenceChar">
    <w:name w:val="Refrence Char"/>
    <w:link w:val="Refrence"/>
    <w:rsid w:val="004612C0"/>
    <w:rPr>
      <w:rFonts w:cs="Zar"/>
      <w:sz w:val="24"/>
      <w:szCs w:val="28"/>
      <w:lang w:val="en-US" w:eastAsia="en-US" w:bidi="fa-IR"/>
    </w:rPr>
  </w:style>
  <w:style w:type="character" w:styleId="Strong">
    <w:name w:val="Strong"/>
    <w:qFormat/>
    <w:rsid w:val="00DD3A5B"/>
    <w:rPr>
      <w:b/>
      <w:bCs/>
    </w:rPr>
  </w:style>
  <w:style w:type="character" w:customStyle="1" w:styleId="m">
    <w:name w:val="m"/>
    <w:basedOn w:val="DefaultParagraphFont"/>
    <w:rsid w:val="00D11AB2"/>
  </w:style>
  <w:style w:type="paragraph" w:customStyle="1" w:styleId="Style1">
    <w:name w:val="Style1"/>
    <w:basedOn w:val="Normal"/>
    <w:link w:val="Style1Char"/>
    <w:rsid w:val="005D6B30"/>
    <w:pPr>
      <w:bidi/>
      <w:jc w:val="center"/>
    </w:pPr>
    <w:rPr>
      <w:rFonts w:eastAsia="SimSun" w:cs="B Nazanin"/>
      <w:noProof w:val="0"/>
      <w:sz w:val="24"/>
      <w:szCs w:val="24"/>
      <w:lang w:eastAsia="zh-CN" w:bidi="fa-IR"/>
    </w:rPr>
  </w:style>
  <w:style w:type="character" w:customStyle="1" w:styleId="Style1Char">
    <w:name w:val="Style1 Char"/>
    <w:link w:val="Style1"/>
    <w:rsid w:val="005D6B30"/>
    <w:rPr>
      <w:rFonts w:eastAsia="SimSun" w:cs="B Nazanin"/>
      <w:sz w:val="24"/>
      <w:szCs w:val="24"/>
      <w:lang w:val="en-US" w:eastAsia="zh-CN" w:bidi="fa-IR"/>
    </w:rPr>
  </w:style>
  <w:style w:type="character" w:customStyle="1" w:styleId="FootnoteTextChar">
    <w:name w:val="Footnote Text Char"/>
    <w:link w:val="FootnoteText"/>
    <w:semiHidden/>
    <w:rsid w:val="00F66277"/>
    <w:rPr>
      <w:rFonts w:cs="Traditional Arabic"/>
      <w:noProof/>
      <w:lang w:val="en-US" w:eastAsia="en-US" w:bidi="ar-SA"/>
    </w:rPr>
  </w:style>
  <w:style w:type="paragraph" w:customStyle="1" w:styleId="1">
    <w:name w:val="عنوان1"/>
    <w:basedOn w:val="Normal"/>
    <w:next w:val="Normal"/>
    <w:rsid w:val="00D50638"/>
    <w:pPr>
      <w:widowControl w:val="0"/>
      <w:bidi/>
      <w:jc w:val="center"/>
    </w:pPr>
    <w:rPr>
      <w:rFonts w:ascii="B Nazanin" w:hAnsi="B Nazanin" w:cs="Nazanin"/>
      <w:b/>
      <w:noProof w:val="0"/>
      <w:sz w:val="40"/>
      <w:szCs w:val="40"/>
      <w:lang w:bidi="fa-IR"/>
    </w:rPr>
  </w:style>
  <w:style w:type="character" w:customStyle="1" w:styleId="CharChar">
    <w:name w:val="Char Char"/>
    <w:semiHidden/>
    <w:rsid w:val="00D50638"/>
    <w:rPr>
      <w:rFonts w:cs="Mitra Mazar"/>
      <w:bCs/>
      <w:lang w:val="en-US" w:eastAsia="en-US" w:bidi="ar-SA"/>
    </w:rPr>
  </w:style>
  <w:style w:type="paragraph" w:customStyle="1" w:styleId="abstract">
    <w:name w:val="abstract"/>
    <w:basedOn w:val="BodyText"/>
    <w:rsid w:val="0091048C"/>
    <w:pPr>
      <w:spacing w:line="220" w:lineRule="atLeast"/>
      <w:ind w:left="709" w:right="709"/>
      <w:jc w:val="lowKashida"/>
    </w:pPr>
    <w:rPr>
      <w:sz w:val="22"/>
      <w:szCs w:val="22"/>
    </w:rPr>
  </w:style>
  <w:style w:type="paragraph" w:customStyle="1" w:styleId="CharCharCharCharCharCharChar">
    <w:name w:val="Char Char Char Char Char Char Char"/>
    <w:basedOn w:val="Normal"/>
    <w:semiHidden/>
    <w:rsid w:val="0042085B"/>
    <w:pPr>
      <w:spacing w:after="160" w:line="240" w:lineRule="exact"/>
    </w:pPr>
    <w:rPr>
      <w:rFonts w:ascii="Verdana" w:hAnsi="Verdana" w:cs="Times New Roman"/>
      <w:noProof w:val="0"/>
      <w:lang w:bidi="he-IL"/>
    </w:rPr>
  </w:style>
  <w:style w:type="paragraph" w:customStyle="1" w:styleId="Paragraph0">
    <w:name w:val="Paragraph"/>
    <w:basedOn w:val="Normal"/>
    <w:link w:val="ParagraphChar0"/>
    <w:autoRedefine/>
    <w:rsid w:val="00B44A51"/>
    <w:pPr>
      <w:overflowPunct w:val="0"/>
      <w:autoSpaceDE w:val="0"/>
      <w:autoSpaceDN w:val="0"/>
      <w:bidi/>
      <w:adjustRightInd w:val="0"/>
      <w:jc w:val="both"/>
      <w:textAlignment w:val="baseline"/>
    </w:pPr>
    <w:rPr>
      <w:rFonts w:cs="Nazanin"/>
      <w:i/>
      <w:noProof w:val="0"/>
      <w:lang w:bidi="fa-IR"/>
    </w:rPr>
  </w:style>
  <w:style w:type="paragraph" w:customStyle="1" w:styleId="Abstract0">
    <w:name w:val="Abstract"/>
    <w:basedOn w:val="Normal"/>
    <w:link w:val="AbstractChar"/>
    <w:autoRedefine/>
    <w:rsid w:val="00B44A51"/>
    <w:pPr>
      <w:bidi/>
      <w:spacing w:before="180" w:after="180"/>
      <w:jc w:val="both"/>
    </w:pPr>
    <w:rPr>
      <w:rFonts w:cs="B Nazanin"/>
      <w:bCs/>
      <w:i/>
      <w:noProof w:val="0"/>
      <w:sz w:val="18"/>
    </w:rPr>
  </w:style>
  <w:style w:type="character" w:customStyle="1" w:styleId="AbstractChar">
    <w:name w:val="Abstract Char"/>
    <w:link w:val="Abstract0"/>
    <w:rsid w:val="00B44A51"/>
    <w:rPr>
      <w:rFonts w:cs="B Nazanin"/>
      <w:bCs/>
      <w:i/>
      <w:sz w:val="18"/>
      <w:lang w:val="en-US" w:eastAsia="en-US" w:bidi="ar-SA"/>
    </w:rPr>
  </w:style>
  <w:style w:type="character" w:customStyle="1" w:styleId="ParagraphChar0">
    <w:name w:val="Paragraph Char"/>
    <w:link w:val="Paragraph0"/>
    <w:rsid w:val="00B44A51"/>
    <w:rPr>
      <w:rFonts w:cs="Nazanin"/>
      <w:i/>
      <w:lang w:val="en-US" w:eastAsia="en-US" w:bidi="fa-IR"/>
    </w:rPr>
  </w:style>
  <w:style w:type="character" w:customStyle="1" w:styleId="TitleChar">
    <w:name w:val="Title Char"/>
    <w:link w:val="Title"/>
    <w:rsid w:val="00B44A51"/>
    <w:rPr>
      <w:rFonts w:cs="Mitra"/>
      <w:b/>
      <w:bCs/>
      <w:noProof/>
      <w:sz w:val="36"/>
      <w:szCs w:val="36"/>
      <w:lang w:val="en-US" w:eastAsia="en-US" w:bidi="ar-SA"/>
    </w:rPr>
  </w:style>
  <w:style w:type="paragraph" w:styleId="EndnoteText">
    <w:name w:val="endnote text"/>
    <w:basedOn w:val="Normal"/>
    <w:semiHidden/>
    <w:unhideWhenUsed/>
    <w:rsid w:val="003A5912"/>
    <w:rPr>
      <w:rFonts w:ascii="Calibri" w:eastAsia="Calibri" w:hAnsi="Calibri" w:cs="Arial"/>
      <w:noProof w:val="0"/>
    </w:rPr>
  </w:style>
  <w:style w:type="character" w:styleId="EndnoteReference">
    <w:name w:val="endnote reference"/>
    <w:semiHidden/>
    <w:unhideWhenUsed/>
    <w:rsid w:val="003A5912"/>
    <w:rPr>
      <w:vertAlign w:val="superscript"/>
    </w:rPr>
  </w:style>
  <w:style w:type="character" w:styleId="Emphasis">
    <w:name w:val="Emphasis"/>
    <w:qFormat/>
    <w:rsid w:val="003A5912"/>
    <w:rPr>
      <w:i/>
      <w:iCs/>
    </w:rPr>
  </w:style>
  <w:style w:type="character" w:customStyle="1" w:styleId="HeaderChar">
    <w:name w:val="Header Char"/>
    <w:link w:val="Header"/>
    <w:uiPriority w:val="99"/>
    <w:rsid w:val="00D14553"/>
    <w:rPr>
      <w:rFonts w:cs="Lotus"/>
      <w:snapToGrid w:val="0"/>
      <w:sz w:val="18"/>
    </w:rPr>
  </w:style>
  <w:style w:type="character" w:customStyle="1" w:styleId="FooterChar">
    <w:name w:val="Footer Char"/>
    <w:link w:val="Footer"/>
    <w:uiPriority w:val="99"/>
    <w:rsid w:val="002357B0"/>
    <w:rPr>
      <w:rFonts w:cs="Traditional Arabic"/>
      <w:noProof/>
    </w:rPr>
  </w:style>
  <w:style w:type="paragraph" w:customStyle="1" w:styleId="msotagline">
    <w:name w:val="msotagline"/>
    <w:rsid w:val="00B4352A"/>
    <w:rPr>
      <w:rFonts w:ascii="Franklin Gothic Demi Cond" w:hAnsi="Franklin Gothic Demi Cond"/>
      <w:color w:val="FFFFFF"/>
      <w:spacing w:val="40"/>
      <w:kern w:val="28"/>
      <w:sz w:val="18"/>
      <w:szCs w:val="18"/>
    </w:rPr>
  </w:style>
  <w:style w:type="character" w:styleId="UnresolvedMention">
    <w:name w:val="Unresolved Mention"/>
    <w:basedOn w:val="DefaultParagraphFont"/>
    <w:uiPriority w:val="99"/>
    <w:semiHidden/>
    <w:unhideWhenUsed/>
    <w:rsid w:val="00747DF5"/>
    <w:rPr>
      <w:color w:val="605E5C"/>
      <w:shd w:val="clear" w:color="auto" w:fill="E1DFDD"/>
    </w:rPr>
  </w:style>
  <w:style w:type="paragraph" w:styleId="ListParagraph">
    <w:name w:val="List Paragraph"/>
    <w:basedOn w:val="Normal"/>
    <w:uiPriority w:val="34"/>
    <w:qFormat/>
    <w:rsid w:val="00D5468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104581">
      <w:bodyDiv w:val="1"/>
      <w:marLeft w:val="0"/>
      <w:marRight w:val="0"/>
      <w:marTop w:val="0"/>
      <w:marBottom w:val="0"/>
      <w:divBdr>
        <w:top w:val="none" w:sz="0" w:space="0" w:color="auto"/>
        <w:left w:val="none" w:sz="0" w:space="0" w:color="auto"/>
        <w:bottom w:val="none" w:sz="0" w:space="0" w:color="auto"/>
        <w:right w:val="none" w:sz="0" w:space="0" w:color="auto"/>
      </w:divBdr>
    </w:div>
    <w:div w:id="46103436">
      <w:bodyDiv w:val="1"/>
      <w:marLeft w:val="0"/>
      <w:marRight w:val="0"/>
      <w:marTop w:val="0"/>
      <w:marBottom w:val="0"/>
      <w:divBdr>
        <w:top w:val="none" w:sz="0" w:space="0" w:color="auto"/>
        <w:left w:val="none" w:sz="0" w:space="0" w:color="auto"/>
        <w:bottom w:val="none" w:sz="0" w:space="0" w:color="auto"/>
        <w:right w:val="none" w:sz="0" w:space="0" w:color="auto"/>
      </w:divBdr>
    </w:div>
    <w:div w:id="57703533">
      <w:bodyDiv w:val="1"/>
      <w:marLeft w:val="0"/>
      <w:marRight w:val="0"/>
      <w:marTop w:val="0"/>
      <w:marBottom w:val="0"/>
      <w:divBdr>
        <w:top w:val="none" w:sz="0" w:space="0" w:color="auto"/>
        <w:left w:val="none" w:sz="0" w:space="0" w:color="auto"/>
        <w:bottom w:val="none" w:sz="0" w:space="0" w:color="auto"/>
        <w:right w:val="none" w:sz="0" w:space="0" w:color="auto"/>
      </w:divBdr>
    </w:div>
    <w:div w:id="101340441">
      <w:bodyDiv w:val="1"/>
      <w:marLeft w:val="0"/>
      <w:marRight w:val="0"/>
      <w:marTop w:val="0"/>
      <w:marBottom w:val="0"/>
      <w:divBdr>
        <w:top w:val="none" w:sz="0" w:space="0" w:color="auto"/>
        <w:left w:val="none" w:sz="0" w:space="0" w:color="auto"/>
        <w:bottom w:val="none" w:sz="0" w:space="0" w:color="auto"/>
        <w:right w:val="none" w:sz="0" w:space="0" w:color="auto"/>
      </w:divBdr>
    </w:div>
    <w:div w:id="364524714">
      <w:bodyDiv w:val="1"/>
      <w:marLeft w:val="0"/>
      <w:marRight w:val="0"/>
      <w:marTop w:val="0"/>
      <w:marBottom w:val="0"/>
      <w:divBdr>
        <w:top w:val="none" w:sz="0" w:space="0" w:color="auto"/>
        <w:left w:val="none" w:sz="0" w:space="0" w:color="auto"/>
        <w:bottom w:val="none" w:sz="0" w:space="0" w:color="auto"/>
        <w:right w:val="none" w:sz="0" w:space="0" w:color="auto"/>
      </w:divBdr>
    </w:div>
    <w:div w:id="367418597">
      <w:bodyDiv w:val="1"/>
      <w:marLeft w:val="0"/>
      <w:marRight w:val="0"/>
      <w:marTop w:val="0"/>
      <w:marBottom w:val="0"/>
      <w:divBdr>
        <w:top w:val="none" w:sz="0" w:space="0" w:color="auto"/>
        <w:left w:val="none" w:sz="0" w:space="0" w:color="auto"/>
        <w:bottom w:val="none" w:sz="0" w:space="0" w:color="auto"/>
        <w:right w:val="none" w:sz="0" w:space="0" w:color="auto"/>
      </w:divBdr>
    </w:div>
    <w:div w:id="387993440">
      <w:bodyDiv w:val="1"/>
      <w:marLeft w:val="0"/>
      <w:marRight w:val="0"/>
      <w:marTop w:val="0"/>
      <w:marBottom w:val="0"/>
      <w:divBdr>
        <w:top w:val="none" w:sz="0" w:space="0" w:color="auto"/>
        <w:left w:val="none" w:sz="0" w:space="0" w:color="auto"/>
        <w:bottom w:val="none" w:sz="0" w:space="0" w:color="auto"/>
        <w:right w:val="none" w:sz="0" w:space="0" w:color="auto"/>
      </w:divBdr>
    </w:div>
    <w:div w:id="487475499">
      <w:bodyDiv w:val="1"/>
      <w:marLeft w:val="0"/>
      <w:marRight w:val="0"/>
      <w:marTop w:val="0"/>
      <w:marBottom w:val="0"/>
      <w:divBdr>
        <w:top w:val="none" w:sz="0" w:space="0" w:color="auto"/>
        <w:left w:val="none" w:sz="0" w:space="0" w:color="auto"/>
        <w:bottom w:val="none" w:sz="0" w:space="0" w:color="auto"/>
        <w:right w:val="none" w:sz="0" w:space="0" w:color="auto"/>
      </w:divBdr>
    </w:div>
    <w:div w:id="573079080">
      <w:bodyDiv w:val="1"/>
      <w:marLeft w:val="0"/>
      <w:marRight w:val="0"/>
      <w:marTop w:val="0"/>
      <w:marBottom w:val="0"/>
      <w:divBdr>
        <w:top w:val="none" w:sz="0" w:space="0" w:color="auto"/>
        <w:left w:val="none" w:sz="0" w:space="0" w:color="auto"/>
        <w:bottom w:val="none" w:sz="0" w:space="0" w:color="auto"/>
        <w:right w:val="none" w:sz="0" w:space="0" w:color="auto"/>
      </w:divBdr>
    </w:div>
    <w:div w:id="587033874">
      <w:bodyDiv w:val="1"/>
      <w:marLeft w:val="0"/>
      <w:marRight w:val="0"/>
      <w:marTop w:val="0"/>
      <w:marBottom w:val="0"/>
      <w:divBdr>
        <w:top w:val="none" w:sz="0" w:space="0" w:color="auto"/>
        <w:left w:val="none" w:sz="0" w:space="0" w:color="auto"/>
        <w:bottom w:val="none" w:sz="0" w:space="0" w:color="auto"/>
        <w:right w:val="none" w:sz="0" w:space="0" w:color="auto"/>
      </w:divBdr>
    </w:div>
    <w:div w:id="590283307">
      <w:bodyDiv w:val="1"/>
      <w:marLeft w:val="0"/>
      <w:marRight w:val="0"/>
      <w:marTop w:val="0"/>
      <w:marBottom w:val="0"/>
      <w:divBdr>
        <w:top w:val="none" w:sz="0" w:space="0" w:color="auto"/>
        <w:left w:val="none" w:sz="0" w:space="0" w:color="auto"/>
        <w:bottom w:val="none" w:sz="0" w:space="0" w:color="auto"/>
        <w:right w:val="none" w:sz="0" w:space="0" w:color="auto"/>
      </w:divBdr>
    </w:div>
    <w:div w:id="616109677">
      <w:bodyDiv w:val="1"/>
      <w:marLeft w:val="0"/>
      <w:marRight w:val="0"/>
      <w:marTop w:val="0"/>
      <w:marBottom w:val="0"/>
      <w:divBdr>
        <w:top w:val="none" w:sz="0" w:space="0" w:color="auto"/>
        <w:left w:val="none" w:sz="0" w:space="0" w:color="auto"/>
        <w:bottom w:val="none" w:sz="0" w:space="0" w:color="auto"/>
        <w:right w:val="none" w:sz="0" w:space="0" w:color="auto"/>
      </w:divBdr>
    </w:div>
    <w:div w:id="628782546">
      <w:bodyDiv w:val="1"/>
      <w:marLeft w:val="0"/>
      <w:marRight w:val="0"/>
      <w:marTop w:val="0"/>
      <w:marBottom w:val="0"/>
      <w:divBdr>
        <w:top w:val="none" w:sz="0" w:space="0" w:color="auto"/>
        <w:left w:val="none" w:sz="0" w:space="0" w:color="auto"/>
        <w:bottom w:val="none" w:sz="0" w:space="0" w:color="auto"/>
        <w:right w:val="none" w:sz="0" w:space="0" w:color="auto"/>
      </w:divBdr>
    </w:div>
    <w:div w:id="668364170">
      <w:bodyDiv w:val="1"/>
      <w:marLeft w:val="0"/>
      <w:marRight w:val="0"/>
      <w:marTop w:val="0"/>
      <w:marBottom w:val="0"/>
      <w:divBdr>
        <w:top w:val="none" w:sz="0" w:space="0" w:color="auto"/>
        <w:left w:val="none" w:sz="0" w:space="0" w:color="auto"/>
        <w:bottom w:val="none" w:sz="0" w:space="0" w:color="auto"/>
        <w:right w:val="none" w:sz="0" w:space="0" w:color="auto"/>
      </w:divBdr>
    </w:div>
    <w:div w:id="700397947">
      <w:bodyDiv w:val="1"/>
      <w:marLeft w:val="0"/>
      <w:marRight w:val="0"/>
      <w:marTop w:val="0"/>
      <w:marBottom w:val="0"/>
      <w:divBdr>
        <w:top w:val="none" w:sz="0" w:space="0" w:color="auto"/>
        <w:left w:val="none" w:sz="0" w:space="0" w:color="auto"/>
        <w:bottom w:val="none" w:sz="0" w:space="0" w:color="auto"/>
        <w:right w:val="none" w:sz="0" w:space="0" w:color="auto"/>
      </w:divBdr>
    </w:div>
    <w:div w:id="723679604">
      <w:bodyDiv w:val="1"/>
      <w:marLeft w:val="0"/>
      <w:marRight w:val="0"/>
      <w:marTop w:val="0"/>
      <w:marBottom w:val="0"/>
      <w:divBdr>
        <w:top w:val="none" w:sz="0" w:space="0" w:color="auto"/>
        <w:left w:val="none" w:sz="0" w:space="0" w:color="auto"/>
        <w:bottom w:val="none" w:sz="0" w:space="0" w:color="auto"/>
        <w:right w:val="none" w:sz="0" w:space="0" w:color="auto"/>
      </w:divBdr>
    </w:div>
    <w:div w:id="774403366">
      <w:bodyDiv w:val="1"/>
      <w:marLeft w:val="0"/>
      <w:marRight w:val="0"/>
      <w:marTop w:val="0"/>
      <w:marBottom w:val="0"/>
      <w:divBdr>
        <w:top w:val="none" w:sz="0" w:space="0" w:color="auto"/>
        <w:left w:val="none" w:sz="0" w:space="0" w:color="auto"/>
        <w:bottom w:val="none" w:sz="0" w:space="0" w:color="auto"/>
        <w:right w:val="none" w:sz="0" w:space="0" w:color="auto"/>
      </w:divBdr>
    </w:div>
    <w:div w:id="812989093">
      <w:bodyDiv w:val="1"/>
      <w:marLeft w:val="0"/>
      <w:marRight w:val="0"/>
      <w:marTop w:val="0"/>
      <w:marBottom w:val="0"/>
      <w:divBdr>
        <w:top w:val="none" w:sz="0" w:space="0" w:color="auto"/>
        <w:left w:val="none" w:sz="0" w:space="0" w:color="auto"/>
        <w:bottom w:val="none" w:sz="0" w:space="0" w:color="auto"/>
        <w:right w:val="none" w:sz="0" w:space="0" w:color="auto"/>
      </w:divBdr>
    </w:div>
    <w:div w:id="853299053">
      <w:bodyDiv w:val="1"/>
      <w:marLeft w:val="0"/>
      <w:marRight w:val="0"/>
      <w:marTop w:val="0"/>
      <w:marBottom w:val="0"/>
      <w:divBdr>
        <w:top w:val="none" w:sz="0" w:space="0" w:color="auto"/>
        <w:left w:val="none" w:sz="0" w:space="0" w:color="auto"/>
        <w:bottom w:val="none" w:sz="0" w:space="0" w:color="auto"/>
        <w:right w:val="none" w:sz="0" w:space="0" w:color="auto"/>
      </w:divBdr>
    </w:div>
    <w:div w:id="867177618">
      <w:bodyDiv w:val="1"/>
      <w:marLeft w:val="0"/>
      <w:marRight w:val="0"/>
      <w:marTop w:val="0"/>
      <w:marBottom w:val="0"/>
      <w:divBdr>
        <w:top w:val="none" w:sz="0" w:space="0" w:color="auto"/>
        <w:left w:val="none" w:sz="0" w:space="0" w:color="auto"/>
        <w:bottom w:val="none" w:sz="0" w:space="0" w:color="auto"/>
        <w:right w:val="none" w:sz="0" w:space="0" w:color="auto"/>
      </w:divBdr>
    </w:div>
    <w:div w:id="868108170">
      <w:bodyDiv w:val="1"/>
      <w:marLeft w:val="0"/>
      <w:marRight w:val="0"/>
      <w:marTop w:val="0"/>
      <w:marBottom w:val="0"/>
      <w:divBdr>
        <w:top w:val="none" w:sz="0" w:space="0" w:color="auto"/>
        <w:left w:val="none" w:sz="0" w:space="0" w:color="auto"/>
        <w:bottom w:val="none" w:sz="0" w:space="0" w:color="auto"/>
        <w:right w:val="none" w:sz="0" w:space="0" w:color="auto"/>
      </w:divBdr>
    </w:div>
    <w:div w:id="883641898">
      <w:bodyDiv w:val="1"/>
      <w:marLeft w:val="0"/>
      <w:marRight w:val="0"/>
      <w:marTop w:val="0"/>
      <w:marBottom w:val="0"/>
      <w:divBdr>
        <w:top w:val="none" w:sz="0" w:space="0" w:color="auto"/>
        <w:left w:val="none" w:sz="0" w:space="0" w:color="auto"/>
        <w:bottom w:val="none" w:sz="0" w:space="0" w:color="auto"/>
        <w:right w:val="none" w:sz="0" w:space="0" w:color="auto"/>
      </w:divBdr>
    </w:div>
    <w:div w:id="1021395669">
      <w:bodyDiv w:val="1"/>
      <w:marLeft w:val="0"/>
      <w:marRight w:val="0"/>
      <w:marTop w:val="0"/>
      <w:marBottom w:val="0"/>
      <w:divBdr>
        <w:top w:val="none" w:sz="0" w:space="0" w:color="auto"/>
        <w:left w:val="none" w:sz="0" w:space="0" w:color="auto"/>
        <w:bottom w:val="none" w:sz="0" w:space="0" w:color="auto"/>
        <w:right w:val="none" w:sz="0" w:space="0" w:color="auto"/>
      </w:divBdr>
    </w:div>
    <w:div w:id="1117988763">
      <w:bodyDiv w:val="1"/>
      <w:marLeft w:val="0"/>
      <w:marRight w:val="0"/>
      <w:marTop w:val="0"/>
      <w:marBottom w:val="0"/>
      <w:divBdr>
        <w:top w:val="none" w:sz="0" w:space="0" w:color="auto"/>
        <w:left w:val="none" w:sz="0" w:space="0" w:color="auto"/>
        <w:bottom w:val="none" w:sz="0" w:space="0" w:color="auto"/>
        <w:right w:val="none" w:sz="0" w:space="0" w:color="auto"/>
      </w:divBdr>
    </w:div>
    <w:div w:id="1135568130">
      <w:bodyDiv w:val="1"/>
      <w:marLeft w:val="0"/>
      <w:marRight w:val="0"/>
      <w:marTop w:val="0"/>
      <w:marBottom w:val="0"/>
      <w:divBdr>
        <w:top w:val="none" w:sz="0" w:space="0" w:color="auto"/>
        <w:left w:val="none" w:sz="0" w:space="0" w:color="auto"/>
        <w:bottom w:val="none" w:sz="0" w:space="0" w:color="auto"/>
        <w:right w:val="none" w:sz="0" w:space="0" w:color="auto"/>
      </w:divBdr>
    </w:div>
    <w:div w:id="1149438943">
      <w:bodyDiv w:val="1"/>
      <w:marLeft w:val="0"/>
      <w:marRight w:val="0"/>
      <w:marTop w:val="0"/>
      <w:marBottom w:val="0"/>
      <w:divBdr>
        <w:top w:val="none" w:sz="0" w:space="0" w:color="auto"/>
        <w:left w:val="none" w:sz="0" w:space="0" w:color="auto"/>
        <w:bottom w:val="none" w:sz="0" w:space="0" w:color="auto"/>
        <w:right w:val="none" w:sz="0" w:space="0" w:color="auto"/>
      </w:divBdr>
    </w:div>
    <w:div w:id="1209149266">
      <w:bodyDiv w:val="1"/>
      <w:marLeft w:val="0"/>
      <w:marRight w:val="0"/>
      <w:marTop w:val="0"/>
      <w:marBottom w:val="0"/>
      <w:divBdr>
        <w:top w:val="none" w:sz="0" w:space="0" w:color="auto"/>
        <w:left w:val="none" w:sz="0" w:space="0" w:color="auto"/>
        <w:bottom w:val="none" w:sz="0" w:space="0" w:color="auto"/>
        <w:right w:val="none" w:sz="0" w:space="0" w:color="auto"/>
      </w:divBdr>
    </w:div>
    <w:div w:id="1294796502">
      <w:bodyDiv w:val="1"/>
      <w:marLeft w:val="0"/>
      <w:marRight w:val="0"/>
      <w:marTop w:val="0"/>
      <w:marBottom w:val="0"/>
      <w:divBdr>
        <w:top w:val="none" w:sz="0" w:space="0" w:color="auto"/>
        <w:left w:val="none" w:sz="0" w:space="0" w:color="auto"/>
        <w:bottom w:val="none" w:sz="0" w:space="0" w:color="auto"/>
        <w:right w:val="none" w:sz="0" w:space="0" w:color="auto"/>
      </w:divBdr>
    </w:div>
    <w:div w:id="1345354758">
      <w:bodyDiv w:val="1"/>
      <w:marLeft w:val="0"/>
      <w:marRight w:val="0"/>
      <w:marTop w:val="0"/>
      <w:marBottom w:val="0"/>
      <w:divBdr>
        <w:top w:val="none" w:sz="0" w:space="0" w:color="auto"/>
        <w:left w:val="none" w:sz="0" w:space="0" w:color="auto"/>
        <w:bottom w:val="none" w:sz="0" w:space="0" w:color="auto"/>
        <w:right w:val="none" w:sz="0" w:space="0" w:color="auto"/>
      </w:divBdr>
    </w:div>
    <w:div w:id="1469594127">
      <w:bodyDiv w:val="1"/>
      <w:marLeft w:val="0"/>
      <w:marRight w:val="0"/>
      <w:marTop w:val="0"/>
      <w:marBottom w:val="0"/>
      <w:divBdr>
        <w:top w:val="none" w:sz="0" w:space="0" w:color="auto"/>
        <w:left w:val="none" w:sz="0" w:space="0" w:color="auto"/>
        <w:bottom w:val="none" w:sz="0" w:space="0" w:color="auto"/>
        <w:right w:val="none" w:sz="0" w:space="0" w:color="auto"/>
      </w:divBdr>
    </w:div>
    <w:div w:id="1490292149">
      <w:bodyDiv w:val="1"/>
      <w:marLeft w:val="0"/>
      <w:marRight w:val="0"/>
      <w:marTop w:val="0"/>
      <w:marBottom w:val="0"/>
      <w:divBdr>
        <w:top w:val="none" w:sz="0" w:space="0" w:color="auto"/>
        <w:left w:val="none" w:sz="0" w:space="0" w:color="auto"/>
        <w:bottom w:val="none" w:sz="0" w:space="0" w:color="auto"/>
        <w:right w:val="none" w:sz="0" w:space="0" w:color="auto"/>
      </w:divBdr>
    </w:div>
    <w:div w:id="1688751471">
      <w:bodyDiv w:val="1"/>
      <w:marLeft w:val="0"/>
      <w:marRight w:val="0"/>
      <w:marTop w:val="0"/>
      <w:marBottom w:val="0"/>
      <w:divBdr>
        <w:top w:val="none" w:sz="0" w:space="0" w:color="auto"/>
        <w:left w:val="none" w:sz="0" w:space="0" w:color="auto"/>
        <w:bottom w:val="none" w:sz="0" w:space="0" w:color="auto"/>
        <w:right w:val="none" w:sz="0" w:space="0" w:color="auto"/>
      </w:divBdr>
    </w:div>
    <w:div w:id="1759790230">
      <w:bodyDiv w:val="1"/>
      <w:marLeft w:val="0"/>
      <w:marRight w:val="0"/>
      <w:marTop w:val="0"/>
      <w:marBottom w:val="0"/>
      <w:divBdr>
        <w:top w:val="none" w:sz="0" w:space="0" w:color="auto"/>
        <w:left w:val="none" w:sz="0" w:space="0" w:color="auto"/>
        <w:bottom w:val="none" w:sz="0" w:space="0" w:color="auto"/>
        <w:right w:val="none" w:sz="0" w:space="0" w:color="auto"/>
      </w:divBdr>
    </w:div>
    <w:div w:id="1789083680">
      <w:bodyDiv w:val="1"/>
      <w:marLeft w:val="0"/>
      <w:marRight w:val="0"/>
      <w:marTop w:val="0"/>
      <w:marBottom w:val="0"/>
      <w:divBdr>
        <w:top w:val="none" w:sz="0" w:space="0" w:color="auto"/>
        <w:left w:val="none" w:sz="0" w:space="0" w:color="auto"/>
        <w:bottom w:val="none" w:sz="0" w:space="0" w:color="auto"/>
        <w:right w:val="none" w:sz="0" w:space="0" w:color="auto"/>
      </w:divBdr>
    </w:div>
    <w:div w:id="1830554320">
      <w:bodyDiv w:val="1"/>
      <w:marLeft w:val="0"/>
      <w:marRight w:val="0"/>
      <w:marTop w:val="0"/>
      <w:marBottom w:val="0"/>
      <w:divBdr>
        <w:top w:val="none" w:sz="0" w:space="0" w:color="auto"/>
        <w:left w:val="none" w:sz="0" w:space="0" w:color="auto"/>
        <w:bottom w:val="none" w:sz="0" w:space="0" w:color="auto"/>
        <w:right w:val="none" w:sz="0" w:space="0" w:color="auto"/>
      </w:divBdr>
    </w:div>
    <w:div w:id="1858228622">
      <w:bodyDiv w:val="1"/>
      <w:marLeft w:val="0"/>
      <w:marRight w:val="0"/>
      <w:marTop w:val="0"/>
      <w:marBottom w:val="0"/>
      <w:divBdr>
        <w:top w:val="none" w:sz="0" w:space="0" w:color="auto"/>
        <w:left w:val="none" w:sz="0" w:space="0" w:color="auto"/>
        <w:bottom w:val="none" w:sz="0" w:space="0" w:color="auto"/>
        <w:right w:val="none" w:sz="0" w:space="0" w:color="auto"/>
      </w:divBdr>
    </w:div>
    <w:div w:id="1870529703">
      <w:bodyDiv w:val="1"/>
      <w:marLeft w:val="0"/>
      <w:marRight w:val="0"/>
      <w:marTop w:val="0"/>
      <w:marBottom w:val="0"/>
      <w:divBdr>
        <w:top w:val="none" w:sz="0" w:space="0" w:color="auto"/>
        <w:left w:val="none" w:sz="0" w:space="0" w:color="auto"/>
        <w:bottom w:val="none" w:sz="0" w:space="0" w:color="auto"/>
        <w:right w:val="none" w:sz="0" w:space="0" w:color="auto"/>
      </w:divBdr>
    </w:div>
    <w:div w:id="1944075189">
      <w:bodyDiv w:val="1"/>
      <w:marLeft w:val="0"/>
      <w:marRight w:val="0"/>
      <w:marTop w:val="0"/>
      <w:marBottom w:val="0"/>
      <w:divBdr>
        <w:top w:val="none" w:sz="0" w:space="0" w:color="auto"/>
        <w:left w:val="none" w:sz="0" w:space="0" w:color="auto"/>
        <w:bottom w:val="none" w:sz="0" w:space="0" w:color="auto"/>
        <w:right w:val="none" w:sz="0" w:space="0" w:color="auto"/>
      </w:divBdr>
    </w:div>
    <w:div w:id="2049603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png"/><Relationship Id="rId17" Type="http://schemas.microsoft.com/office/2007/relationships/hdphoto" Target="media/hdphoto5.wdp"/><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2.wdp"/><Relationship Id="rId5" Type="http://schemas.openxmlformats.org/officeDocument/2006/relationships/webSettings" Target="webSettings.xml"/><Relationship Id="rId15" Type="http://schemas.microsoft.com/office/2007/relationships/hdphoto" Target="media/hdphoto4.wdp"/><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A1D334-44A0-4330-98F3-98A4FF0BFA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13</Pages>
  <Words>6524</Words>
  <Characters>37189</Characters>
  <Application>Microsoft Office Word</Application>
  <DocSecurity>0</DocSecurity>
  <Lines>309</Lines>
  <Paragraphs>87</Paragraphs>
  <ScaleCrop>false</ScaleCrop>
  <HeadingPairs>
    <vt:vector size="2" baseType="variant">
      <vt:variant>
        <vt:lpstr>Title</vt:lpstr>
      </vt:variant>
      <vt:variant>
        <vt:i4>1</vt:i4>
      </vt:variant>
    </vt:vector>
  </HeadingPairs>
  <TitlesOfParts>
    <vt:vector size="1" baseType="lpstr">
      <vt:lpstr>temp</vt:lpstr>
    </vt:vector>
  </TitlesOfParts>
  <Company>Tehran Ploy Technic</Company>
  <LinksUpToDate>false</LinksUpToDate>
  <CharactersWithSpaces>43626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dc:title>
  <dc:creator>NCME</dc:creator>
  <cp:lastModifiedBy>sialk</cp:lastModifiedBy>
  <cp:revision>4</cp:revision>
  <cp:lastPrinted>2007-05-16T03:26:00Z</cp:lastPrinted>
  <dcterms:created xsi:type="dcterms:W3CDTF">2025-12-17T10:01:00Z</dcterms:created>
  <dcterms:modified xsi:type="dcterms:W3CDTF">2025-12-17T10:05:00Z</dcterms:modified>
</cp:coreProperties>
</file>